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id w:val="709612088"/>
        <w:docPartObj>
          <w:docPartGallery w:val="Cover Pages"/>
          <w:docPartUnique/>
        </w:docPartObj>
      </w:sdtPr>
      <w:sdtEndPr/>
      <w:sdtContent>
        <w:p w14:paraId="7B1B7824" w14:textId="77777777" w:rsidR="00297C70" w:rsidRDefault="00297C70" w:rsidP="006E1153">
          <w:r w:rsidRPr="001F455A">
            <w:rPr>
              <w:noProof/>
              <w:lang w:eastAsia="fi-FI"/>
            </w:rPr>
            <w:drawing>
              <wp:inline distT="0" distB="0" distL="0" distR="0" wp14:anchorId="4CAF6B42" wp14:editId="00B2952D">
                <wp:extent cx="2462400" cy="549885"/>
                <wp:effectExtent l="0" t="0" r="0" b="3175"/>
                <wp:docPr id="13" name="Kuva 13" descr="Trafico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RAFICOM_su_rgb.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62400" cy="549885"/>
                        </a:xfrm>
                        <a:prstGeom prst="rect">
                          <a:avLst/>
                        </a:prstGeom>
                      </pic:spPr>
                    </pic:pic>
                  </a:graphicData>
                </a:graphic>
              </wp:inline>
            </w:drawing>
          </w:r>
        </w:p>
        <w:p w14:paraId="67DCEB5F" w14:textId="77777777" w:rsidR="00297C70" w:rsidRDefault="00297C70" w:rsidP="006E1153"/>
        <w:p w14:paraId="213E83BD" w14:textId="77777777" w:rsidR="00297C70" w:rsidRDefault="00297C70" w:rsidP="006E1153"/>
        <w:p w14:paraId="7650B689" w14:textId="77777777" w:rsidR="00297C70" w:rsidRDefault="00297C70" w:rsidP="006E1153"/>
        <w:p w14:paraId="11778D8C" w14:textId="77777777" w:rsidR="00297C70" w:rsidRDefault="00297C70" w:rsidP="006E1153"/>
        <w:p w14:paraId="327DFD5D" w14:textId="77777777" w:rsidR="00297C70" w:rsidRDefault="00297C70">
          <w:r>
            <w:rPr>
              <w:noProof/>
              <w:lang w:eastAsia="fi-FI"/>
            </w:rPr>
            <mc:AlternateContent>
              <mc:Choice Requires="wpg">
                <w:drawing>
                  <wp:anchor distT="0" distB="0" distL="114300" distR="114300" simplePos="0" relativeHeight="251659264" behindDoc="0" locked="0" layoutInCell="1" allowOverlap="1" wp14:anchorId="5E119CCA" wp14:editId="64B8C920">
                    <wp:simplePos x="0" y="0"/>
                    <wp:positionH relativeFrom="page">
                      <wp:posOffset>190500</wp:posOffset>
                    </wp:positionH>
                    <wp:positionV relativeFrom="page">
                      <wp:posOffset>4600575</wp:posOffset>
                    </wp:positionV>
                    <wp:extent cx="7171055" cy="5909310"/>
                    <wp:effectExtent l="0" t="0" r="0" b="0"/>
                    <wp:wrapNone/>
                    <wp:docPr id="3" name="Ryhmä 3" descr="Kansilehtigrafiikka"/>
                    <wp:cNvGraphicFramePr/>
                    <a:graphic xmlns:a="http://schemas.openxmlformats.org/drawingml/2006/main">
                      <a:graphicData uri="http://schemas.microsoft.com/office/word/2010/wordprocessingGroup">
                        <wpg:wgp>
                          <wpg:cNvGrpSpPr/>
                          <wpg:grpSpPr>
                            <a:xfrm>
                              <a:off x="0" y="0"/>
                              <a:ext cx="7171055" cy="5909310"/>
                              <a:chOff x="0" y="0"/>
                              <a:chExt cx="7170420" cy="5911862"/>
                            </a:xfrm>
                          </wpg:grpSpPr>
                          <wps:wsp>
                            <wps:cNvPr id="5" name="Suorakulmainen kolmio 5"/>
                            <wps:cNvSpPr/>
                            <wps:spPr>
                              <a:xfrm>
                                <a:off x="0" y="0"/>
                                <a:ext cx="2506980" cy="5903595"/>
                              </a:xfrm>
                              <a:prstGeom prst="rtTriangle">
                                <a:avLst/>
                              </a:prstGeom>
                              <a:solidFill>
                                <a:srgbClr val="009E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Suorakulmio 9"/>
                            <wps:cNvSpPr/>
                            <wps:spPr>
                              <a:xfrm>
                                <a:off x="0" y="1185062"/>
                                <a:ext cx="7170420" cy="4726800"/>
                              </a:xfrm>
                              <a:custGeom>
                                <a:avLst/>
                                <a:gdLst>
                                  <a:gd name="connsiteX0" fmla="*/ 0 w 7170420"/>
                                  <a:gd name="connsiteY0" fmla="*/ 0 h 4715510"/>
                                  <a:gd name="connsiteX1" fmla="*/ 7170420 w 7170420"/>
                                  <a:gd name="connsiteY1" fmla="*/ 0 h 4715510"/>
                                  <a:gd name="connsiteX2" fmla="*/ 7170420 w 7170420"/>
                                  <a:gd name="connsiteY2" fmla="*/ 4715510 h 4715510"/>
                                  <a:gd name="connsiteX3" fmla="*/ 0 w 7170420"/>
                                  <a:gd name="connsiteY3" fmla="*/ 4715510 h 4715510"/>
                                  <a:gd name="connsiteX4" fmla="*/ 0 w 7170420"/>
                                  <a:gd name="connsiteY4" fmla="*/ 0 h 4715510"/>
                                  <a:gd name="connsiteX0" fmla="*/ 0 w 7170420"/>
                                  <a:gd name="connsiteY0" fmla="*/ 2977116 h 4715510"/>
                                  <a:gd name="connsiteX1" fmla="*/ 7170420 w 7170420"/>
                                  <a:gd name="connsiteY1" fmla="*/ 0 h 4715510"/>
                                  <a:gd name="connsiteX2" fmla="*/ 7170420 w 7170420"/>
                                  <a:gd name="connsiteY2" fmla="*/ 4715510 h 4715510"/>
                                  <a:gd name="connsiteX3" fmla="*/ 0 w 7170420"/>
                                  <a:gd name="connsiteY3" fmla="*/ 4715510 h 4715510"/>
                                  <a:gd name="connsiteX4" fmla="*/ 0 w 7170420"/>
                                  <a:gd name="connsiteY4" fmla="*/ 2977116 h 47155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70420" h="4715510">
                                    <a:moveTo>
                                      <a:pt x="0" y="2977116"/>
                                    </a:moveTo>
                                    <a:lnTo>
                                      <a:pt x="7170420" y="0"/>
                                    </a:lnTo>
                                    <a:lnTo>
                                      <a:pt x="7170420" y="4715510"/>
                                    </a:lnTo>
                                    <a:lnTo>
                                      <a:pt x="0" y="4715510"/>
                                    </a:lnTo>
                                    <a:lnTo>
                                      <a:pt x="0" y="2977116"/>
                                    </a:lnTo>
                                    <a:close/>
                                  </a:path>
                                </a:pathLst>
                              </a:custGeom>
                              <a:solidFill>
                                <a:srgbClr val="00AEB2">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Puolisuunnikas 10"/>
                            <wps:cNvSpPr/>
                            <wps:spPr>
                              <a:xfrm>
                                <a:off x="0" y="3540557"/>
                                <a:ext cx="2516177" cy="2369737"/>
                              </a:xfrm>
                              <a:custGeom>
                                <a:avLst/>
                                <a:gdLst>
                                  <a:gd name="connsiteX0" fmla="*/ 0 w 2434590"/>
                                  <a:gd name="connsiteY0" fmla="*/ 1720215 h 1720215"/>
                                  <a:gd name="connsiteX1" fmla="*/ 430054 w 2434590"/>
                                  <a:gd name="connsiteY1" fmla="*/ 0 h 1720215"/>
                                  <a:gd name="connsiteX2" fmla="*/ 2004536 w 2434590"/>
                                  <a:gd name="connsiteY2" fmla="*/ 0 h 1720215"/>
                                  <a:gd name="connsiteX3" fmla="*/ 2434590 w 2434590"/>
                                  <a:gd name="connsiteY3" fmla="*/ 1720215 h 1720215"/>
                                  <a:gd name="connsiteX4" fmla="*/ 0 w 2434590"/>
                                  <a:gd name="connsiteY4" fmla="*/ 1720215 h 1720215"/>
                                  <a:gd name="connsiteX0" fmla="*/ 0 w 2434590"/>
                                  <a:gd name="connsiteY0" fmla="*/ 1773378 h 1773378"/>
                                  <a:gd name="connsiteX1" fmla="*/ 0 w 2434590"/>
                                  <a:gd name="connsiteY1" fmla="*/ 0 h 1773378"/>
                                  <a:gd name="connsiteX2" fmla="*/ 2004536 w 2434590"/>
                                  <a:gd name="connsiteY2" fmla="*/ 53163 h 1773378"/>
                                  <a:gd name="connsiteX3" fmla="*/ 2434590 w 2434590"/>
                                  <a:gd name="connsiteY3" fmla="*/ 1773378 h 1773378"/>
                                  <a:gd name="connsiteX4" fmla="*/ 0 w 2434590"/>
                                  <a:gd name="connsiteY4" fmla="*/ 1773378 h 1773378"/>
                                  <a:gd name="connsiteX0" fmla="*/ 0 w 2434590"/>
                                  <a:gd name="connsiteY0" fmla="*/ 2409746 h 2409746"/>
                                  <a:gd name="connsiteX1" fmla="*/ 0 w 2434590"/>
                                  <a:gd name="connsiteY1" fmla="*/ 636368 h 2409746"/>
                                  <a:gd name="connsiteX2" fmla="*/ 1597719 w 2434590"/>
                                  <a:gd name="connsiteY2" fmla="*/ 0 h 2409746"/>
                                  <a:gd name="connsiteX3" fmla="*/ 2434590 w 2434590"/>
                                  <a:gd name="connsiteY3" fmla="*/ 2409746 h 2409746"/>
                                  <a:gd name="connsiteX4" fmla="*/ 0 w 2434590"/>
                                  <a:gd name="connsiteY4" fmla="*/ 2409746 h 2409746"/>
                                  <a:gd name="connsiteX0" fmla="*/ 0 w 2434590"/>
                                  <a:gd name="connsiteY0" fmla="*/ 2408225 h 2408225"/>
                                  <a:gd name="connsiteX1" fmla="*/ 0 w 2434590"/>
                                  <a:gd name="connsiteY1" fmla="*/ 634847 h 2408225"/>
                                  <a:gd name="connsiteX2" fmla="*/ 1527869 w 2434590"/>
                                  <a:gd name="connsiteY2" fmla="*/ 0 h 2408225"/>
                                  <a:gd name="connsiteX3" fmla="*/ 2434590 w 2434590"/>
                                  <a:gd name="connsiteY3" fmla="*/ 2408225 h 2408225"/>
                                  <a:gd name="connsiteX4" fmla="*/ 0 w 2434590"/>
                                  <a:gd name="connsiteY4" fmla="*/ 2408225 h 2408225"/>
                                  <a:gd name="connsiteX0" fmla="*/ 0 w 2434590"/>
                                  <a:gd name="connsiteY0" fmla="*/ 2408218 h 2408218"/>
                                  <a:gd name="connsiteX1" fmla="*/ 0 w 2434590"/>
                                  <a:gd name="connsiteY1" fmla="*/ 634840 h 2408218"/>
                                  <a:gd name="connsiteX2" fmla="*/ 1527168 w 2434590"/>
                                  <a:gd name="connsiteY2" fmla="*/ 0 h 2408218"/>
                                  <a:gd name="connsiteX3" fmla="*/ 2434590 w 2434590"/>
                                  <a:gd name="connsiteY3" fmla="*/ 2408218 h 2408218"/>
                                  <a:gd name="connsiteX4" fmla="*/ 0 w 2434590"/>
                                  <a:gd name="connsiteY4" fmla="*/ 2408218 h 2408218"/>
                                  <a:gd name="connsiteX0" fmla="*/ 0 w 2434590"/>
                                  <a:gd name="connsiteY0" fmla="*/ 2408218 h 2408218"/>
                                  <a:gd name="connsiteX1" fmla="*/ 0 w 2434590"/>
                                  <a:gd name="connsiteY1" fmla="*/ 634840 h 2408218"/>
                                  <a:gd name="connsiteX2" fmla="*/ 1497023 w 2434590"/>
                                  <a:gd name="connsiteY2" fmla="*/ 0 h 2408218"/>
                                  <a:gd name="connsiteX3" fmla="*/ 2434590 w 2434590"/>
                                  <a:gd name="connsiteY3" fmla="*/ 2408218 h 2408218"/>
                                  <a:gd name="connsiteX4" fmla="*/ 0 w 2434590"/>
                                  <a:gd name="connsiteY4" fmla="*/ 2408218 h 2408218"/>
                                  <a:gd name="connsiteX0" fmla="*/ 0 w 2434590"/>
                                  <a:gd name="connsiteY0" fmla="*/ 2376472 h 2376472"/>
                                  <a:gd name="connsiteX1" fmla="*/ 0 w 2434590"/>
                                  <a:gd name="connsiteY1" fmla="*/ 603094 h 2376472"/>
                                  <a:gd name="connsiteX2" fmla="*/ 1453856 w 2434590"/>
                                  <a:gd name="connsiteY2" fmla="*/ 0 h 2376472"/>
                                  <a:gd name="connsiteX3" fmla="*/ 2434590 w 2434590"/>
                                  <a:gd name="connsiteY3" fmla="*/ 2376472 h 2376472"/>
                                  <a:gd name="connsiteX4" fmla="*/ 0 w 2434590"/>
                                  <a:gd name="connsiteY4" fmla="*/ 2376472 h 237647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34590" h="2376472">
                                    <a:moveTo>
                                      <a:pt x="0" y="2376472"/>
                                    </a:moveTo>
                                    <a:lnTo>
                                      <a:pt x="0" y="603094"/>
                                    </a:lnTo>
                                    <a:lnTo>
                                      <a:pt x="1453856" y="0"/>
                                    </a:lnTo>
                                    <a:lnTo>
                                      <a:pt x="2434590" y="2376472"/>
                                    </a:lnTo>
                                    <a:lnTo>
                                      <a:pt x="0" y="2376472"/>
                                    </a:lnTo>
                                    <a:close/>
                                  </a:path>
                                </a:pathLst>
                              </a:custGeom>
                              <a:solidFill>
                                <a:srgbClr val="01828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069FB3D" id="Ryhmä 3" o:spid="_x0000_s1026" alt="Kansilehtigrafiikka" style="position:absolute;margin-left:15pt;margin-top:362.25pt;width:564.65pt;height:465.3pt;z-index:251659264;mso-position-horizontal-relative:page;mso-position-vertical-relative:page;mso-width-relative:margin;mso-height-relative:margin" coordsize="71704,59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DELxQYAAPIlAAAOAAAAZHJzL2Uyb0RvYy54bWzsWt1u2zYUvh+wdxB0OWC1/mUbdYqsbYph&#10;RRs0GdpeMjJlCZFEjaLjZM+zN9mL7ZAU5ePEiVi3HTbACWBT0vkhv4/n8JDW8xe3deXcUN6VrFm4&#10;/jPPdWiTsWXZrBbu75dnP09dpxOkWZKKNXTh3tHOfXHy4w/PN+2cBqxg1ZJyB4w03XzTLtxCiHY+&#10;mXRZQWvSPWMtbeBhznhNBFzy1WTJyQas19Uk8LxksmF82XKW0a6Du6/0Q/dE2c9zmon3ed5R4VQL&#10;F/om1CdXn1fyc3LynMxXnLRFmfXdIAf0oiZlA04HU6+IIM6alw9M1WXGWcdy8Sxj9YTleZlRNQYY&#10;je/dG80bztatGstqvlm1A0wA7T2cDjabvbs55065XLih6zSkBoo+3BX13385cL2kXQZY/Uaarqxo&#10;IUoAKi/L62sicdu0qzmov+HtRXvO+xsrfSWhuM15Lb9hkM6tQvxuQJzeCieDm6mf+l4cu04Gz+KZ&#10;Nwv9npOsAOIe6GXF662mFwVAqdb0/WkSyF5NjOOJ7N/QnU0L86vbQth9HYQXBWmpYqaTGPQQwjg0&#10;hBdrxsn1upLTgjbONavqkjmxRk1pDJB18w7Qs8UriL1kNh1G7YXxTFkdRk3mLe/EG8pqRzYWLheX&#10;vCTNqpLdJXNy87YTGiYjKG93rCqXZ2VVqQu+unpZceeGyKDxZq/Pznpkd8SqRgo3TKppi/IOwG6G&#10;pFrirqJSrmo+0BwmGpAeqJ6oEKeDH5JltBG+flSQJdXuYw/+jHeZFKSGYlkZlJZz8D/Y7g0YSW3E&#10;2Na97OWlKlUZYlD2nuqYVh40lGfWiEG5LhvG9xmoYFS9Zy1vQNLQSJSu2PIO5hBnOj91bXZWAntv&#10;SSfOCYeEBIxDkhXv4SOv2Gbhsr7lOgXjf+67L+VhksNT19lAglu43R9rwqnrVL82MP1nfhTJjKgu&#10;ojiVscTxkyv8pFnXLxlMBx/SeZupppQXlWnmnNUfIRefSq/wiDQZ+F64wjRfCp12IZdn9PRUCUEO&#10;bIl421y0mTQtMZWz8vL2I+FtP4EF5Ip3zATcgxmsZaVmw07XguWlmt5bVHu0IfhlyvoXsgCsePey&#10;AMT+7IDYh5wG4a6yGkzVfXkvSoNkOsSHSbjZWmcACYqJd1iZlhD58tZq2fcvYw0kdkE/AV15XcE0&#10;+2nieM7GgayscivM2j3in3fFCydK/Tg2efuhdZgyg/Xe8rgPrOQ5oz6CQ3xgpX4M455gWRxGY4EV&#10;Frf2EX2Zj13xUax26fsitoNZmvp+Mo4Spu/IuW8xg3dJHGUFi+9lBSqCIeJJoRd9Ms9umz4LQAty&#10;NFSSetFrWSeLLZwSoCIzlxDyegUDLZkTRpSBfaxslj87ZYhKrGyKOjtlCDesHH5RtwFTrBxhZYAT&#10;etBjx2FbITcUldpQCFgHoc5ynauFeyV1YBEjQkJumg4s2CanOsXCNQlTPq9hJb9kSlJsy92e0r4H&#10;W5mqwbKDTei2YchImO9WWcWSxrtm1MiZby0POQJs2kvu9tfYyirWUe1GIqLKtgEaiShaqHZKy263&#10;Aj19/YuuGUnVFkTXdLDsDQtfL67s79g5lqj5sUQ9lqhQWMvKd7tR9Yed6vkadn7det005TXpHF3F&#10;9cK2e9QwjmAPn+rUZ+rUIPYTP031/jwIk1kaKgm0U8Xhf1CdGkRhBIcG2vGDwnOnTvVhfxP4MVQu&#10;fesRpU+4colCz4sjKFZHHGEdudSPuMB1J5xhRXGYjPvAShY+cN3Z937cB1ayBgxXIrIgHsEKi1v7&#10;uF+yjvjA4jAHwzCdKlZUy4Z4i3E85PxJ65i+gziPQz8Jx0eBKTyQd0u8MJEWeGFxa04wkRY+sHgQ&#10;ebM0kluVvvUdeE9C+JdTa8QFJt+P5R5qNh4oWEkG/IiPrybeGjDMpAUpWNzaB2bSwgcWBx/TIJCZ&#10;vm99F+KjaZSOu8Ac+nGQTpPDiJcDemwY34J4O8AwkxakYHFrUjCTFj6wuPLh9+E4DfzpY4jtpu7R&#10;FQuLJyEQ30fjUy7uE+9Dmhh1hJUsfHwb4m0Aw0xakILFrUnBTFr4wOLWPjCTFj6w+EHER7PUC8Ij&#10;8ZCQH49GzKQFKVg8CNMEjsBlHtat7xHxXujNonEXOHh9KOmn8QFF/cgwvj7ibQHDIWxBChbfS8rx&#10;NFLQz/+h00izgZKnkWbSPXEauY0uIPKx00iITDgzTFS8yEAEUXMQaL714WIfHkr86WPLoZtg2HTz&#10;Kcu6C/slv9FhpD8NpuYn9+NZ4/Hn8P/zz+HqFRl4sUjFav8SlHxzCV9DG7+qdfIPAAAA//8DAFBL&#10;AwQUAAYACAAAACEAamHSfOMAAAAMAQAADwAAAGRycy9kb3ducmV2LnhtbEyPwU7DMBBE70j8g7VI&#10;3KjjBhcIcaqqAk5VJVokxM2Nt0nUeB3FbpL+Pe4JbrOa0eybfDnZlg3Y+8aRAjFLgCGVzjRUKfja&#10;vz88A/NBk9GtI1RwQQ/L4vYm15lxI33isAsViyXkM62gDqHLOPdljVb7meuQond0vdUhnn3FTa/H&#10;WG5bPk+SBbe6ofih1h2uayxPu7NV8DHqcZWKt2FzOq4vP3u5/d4IVOr+blq9Ags4hb8wXPEjOhSR&#10;6eDOZDxrFaRJnBIUPM0fJbBrQMiXFNghqoWUAniR8/8jil8AAAD//wMAUEsBAi0AFAAGAAgAAAAh&#10;ALaDOJL+AAAA4QEAABMAAAAAAAAAAAAAAAAAAAAAAFtDb250ZW50X1R5cGVzXS54bWxQSwECLQAU&#10;AAYACAAAACEAOP0h/9YAAACUAQAACwAAAAAAAAAAAAAAAAAvAQAAX3JlbHMvLnJlbHNQSwECLQAU&#10;AAYACAAAACEA5wQxC8UGAADyJQAADgAAAAAAAAAAAAAAAAAuAgAAZHJzL2Uyb0RvYy54bWxQSwEC&#10;LQAUAAYACAAAACEAamHSfOMAAAAMAQAADwAAAAAAAAAAAAAAAAAfCQAAZHJzL2Rvd25yZXYueG1s&#10;UEsFBgAAAAAEAAQA8wAAAC8KAAAAAA==&#10;">
                    <v:shapetype id="_x0000_t6" coordsize="21600,21600" o:spt="6" path="m,l,21600r21600,xe">
                      <v:stroke joinstyle="miter"/>
                      <v:path gradientshapeok="t" o:connecttype="custom" o:connectlocs="0,0;0,10800;0,21600;10800,21600;21600,21600;10800,10800" textboxrect="1800,12600,12600,19800"/>
                    </v:shapetype>
                    <v:shape id="Suorakulmainen kolmio 5" o:spid="_x0000_s1027" type="#_x0000_t6" style="position:absolute;width:25069;height:59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KoEwQAAANoAAAAPAAAAZHJzL2Rvd25yZXYueG1sRI9Ba8JA&#10;FITvBf/D8gRvdZNCpUZX0UKLHhs9eHxmn0lI3tuQ3Wr8965Q6HGYmW+Y5XrgVl2p97UTA+k0AUVS&#10;OFtLaeB4+Hr9AOUDisXWCRm4k4f1avSyxMy6m/zQNQ+lihDxGRqoQugyrX1REaOfuo4kehfXM4Yo&#10;+1LbHm8Rzq1+S5KZZqwlLlTY0WdFRZP/soF93jT1nCns8rM9XNItp3z6NmYyHjYLUIGG8B/+a++s&#10;gXd4Xok3QK8eAAAA//8DAFBLAQItABQABgAIAAAAIQDb4fbL7gAAAIUBAAATAAAAAAAAAAAAAAAA&#10;AAAAAABbQ29udGVudF9UeXBlc10ueG1sUEsBAi0AFAAGAAgAAAAhAFr0LFu/AAAAFQEAAAsAAAAA&#10;AAAAAAAAAAAAHwEAAF9yZWxzLy5yZWxzUEsBAi0AFAAGAAgAAAAhAFlsqgTBAAAA2gAAAA8AAAAA&#10;AAAAAAAAAAAABwIAAGRycy9kb3ducmV2LnhtbFBLBQYAAAAAAwADALcAAAD1AgAAAAA=&#10;" fillcolor="#009eff" stroked="f" strokeweight="1pt"/>
                    <v:shape id="Suorakulmio 9" o:spid="_x0000_s1028" style="position:absolute;top:11850;width:71704;height:47268;visibility:visible;mso-wrap-style:square;v-text-anchor:top" coordsize="7170420,471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vTZvwAAANoAAAAPAAAAZHJzL2Rvd25yZXYueG1sRE/LisIw&#10;FN0L/kO4gjtNVfDRMYr4AGfpA5zlpbnTlGluShNr9evNYsDl4byX69aWoqHaF44VjIYJCOLM6YJz&#10;BdfLYTAH4QOyxtIxKXiSh/Wq21liqt2DT9ScQy5iCPsUFZgQqlRKnxmy6IeuIo7cr6sthgjrXOoa&#10;HzHclnKcJFNpseDYYLCiraHs73y3CvYvubGLE032u+929jMyzfQ2aZTq99rNF4hAbfiI/91HrSBu&#10;jVfiDZCrNwAAAP//AwBQSwECLQAUAAYACAAAACEA2+H2y+4AAACFAQAAEwAAAAAAAAAAAAAAAAAA&#10;AAAAW0NvbnRlbnRfVHlwZXNdLnhtbFBLAQItABQABgAIAAAAIQBa9CxbvwAAABUBAAALAAAAAAAA&#10;AAAAAAAAAB8BAABfcmVscy8ucmVsc1BLAQItABQABgAIAAAAIQAMFvTZvwAAANoAAAAPAAAAAAAA&#10;AAAAAAAAAAcCAABkcnMvZG93bnJldi54bWxQSwUGAAAAAAMAAwC3AAAA8wIAAAAA&#10;" path="m,2977116l7170420,r,4715510l,4715510,,2977116xe" fillcolor="#00aeb2" stroked="f" strokeweight="1pt">
                      <v:fill opacity="52428f"/>
                      <v:stroke joinstyle="miter"/>
                      <v:path arrowok="t" o:connecttype="custom" o:connectlocs="0,2984244;7170420,0;7170420,4726800;0,4726800;0,2984244" o:connectangles="0,0,0,0,0"/>
                    </v:shape>
                    <v:shape id="Puolisuunnikas 10" o:spid="_x0000_s1029" style="position:absolute;top:35405;width:25161;height:23697;visibility:visible;mso-wrap-style:square;v-text-anchor:top" coordsize="2434590,2376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cFOwAAAANsAAAAPAAAAZHJzL2Rvd25yZXYueG1sRE9NawIx&#10;EL0X/A9hBG81q2CRrVGKIApStNFDj8Nmml3cTJYk6vbfN4LQ2zze5yxWvWvFjUJsPCuYjAsQxJU3&#10;DVsF59PmdQ4iJmSDrWdS8EsRVsvBywJL4+/8RTedrMghHEtUUKfUlVLGqiaHcew74sz9+OAwZRis&#10;NAHvOdy1cloUb9Jhw7mhxo7WNVUXfXUK7Eyftlpb9/md5vsuXI6Hw/6o1GjYf7yDSNSnf/HTvTN5&#10;/gwev+QD5PIPAAD//wMAUEsBAi0AFAAGAAgAAAAhANvh9svuAAAAhQEAABMAAAAAAAAAAAAAAAAA&#10;AAAAAFtDb250ZW50X1R5cGVzXS54bWxQSwECLQAUAAYACAAAACEAWvQsW78AAAAVAQAACwAAAAAA&#10;AAAAAAAAAAAfAQAAX3JlbHMvLnJlbHNQSwECLQAUAAYACAAAACEArbnBTsAAAADbAAAADwAAAAAA&#10;AAAAAAAAAAAHAgAAZHJzL2Rvd25yZXYueG1sUEsFBgAAAAADAAMAtwAAAPQCAAAAAA==&#10;" path="m,2376472l,603094,1453856,r980734,2376472l,2376472xe" fillcolor="#018285" stroked="f" strokeweight="1pt">
                      <v:stroke joinstyle="miter"/>
                      <v:path arrowok="t" o:connecttype="custom" o:connectlocs="0,2369737;0,601385;1502577,0;2516177,2369737;0,2369737" o:connectangles="0,0,0,0,0"/>
                    </v:shape>
                    <w10:wrap anchorx="page" anchory="page"/>
                  </v:group>
                </w:pict>
              </mc:Fallback>
            </mc:AlternateContent>
          </w:r>
          <w:r>
            <w:rPr>
              <w:noProof/>
              <w:lang w:eastAsia="fi-FI"/>
            </w:rPr>
            <mc:AlternateContent>
              <mc:Choice Requires="wps">
                <w:drawing>
                  <wp:inline distT="0" distB="0" distL="0" distR="0" wp14:anchorId="2008AA77" wp14:editId="078068E8">
                    <wp:extent cx="6166800" cy="2402006"/>
                    <wp:effectExtent l="0" t="0" r="0" b="0"/>
                    <wp:docPr id="16" name="Tekstiruutu 16"/>
                    <wp:cNvGraphicFramePr/>
                    <a:graphic xmlns:a="http://schemas.openxmlformats.org/drawingml/2006/main">
                      <a:graphicData uri="http://schemas.microsoft.com/office/word/2010/wordprocessingShape">
                        <wps:wsp>
                          <wps:cNvSpPr txBox="1"/>
                          <wps:spPr>
                            <a:xfrm>
                              <a:off x="0" y="0"/>
                              <a:ext cx="6166800" cy="2402006"/>
                            </a:xfrm>
                            <a:prstGeom prst="rect">
                              <a:avLst/>
                            </a:prstGeom>
                            <a:noFill/>
                            <a:ln w="6350">
                              <a:noFill/>
                            </a:ln>
                          </wps:spPr>
                          <wps:txbx>
                            <w:txbxContent>
                              <w:sdt>
                                <w:sdtPr>
                                  <w:rPr>
                                    <w:b/>
                                    <w:sz w:val="44"/>
                                    <w:szCs w:val="44"/>
                                  </w:rPr>
                                  <w:alias w:val="Otsikko"/>
                                  <w:tag w:val=""/>
                                  <w:id w:val="-1062860151"/>
                                  <w:showingPlcHdr/>
                                  <w:dataBinding w:prefixMappings="xmlns:ns0='http://purl.org/dc/elements/1.1/' xmlns:ns1='http://schemas.openxmlformats.org/package/2006/metadata/core-properties' " w:xpath="/ns1:coreProperties[1]/ns0:title[1]" w:storeItemID="{6C3C8BC8-F283-45AE-878A-BAB7291924A1}"/>
                                  <w:text w:multiLine="1"/>
                                </w:sdtPr>
                                <w:sdtEndPr/>
                                <w:sdtContent>
                                  <w:p w14:paraId="53BBD5AF" w14:textId="6E73AC63" w:rsidR="008F5685" w:rsidRDefault="008F5685">
                                    <w:pPr>
                                      <w:rPr>
                                        <w:b/>
                                        <w:sz w:val="44"/>
                                        <w:szCs w:val="44"/>
                                      </w:rPr>
                                    </w:pPr>
                                    <w:r>
                                      <w:rPr>
                                        <w:b/>
                                        <w:sz w:val="44"/>
                                        <w:szCs w:val="44"/>
                                      </w:rPr>
                                      <w:t xml:space="preserve">     </w:t>
                                    </w:r>
                                  </w:p>
                                </w:sdtContent>
                              </w:sdt>
                              <w:p w14:paraId="68017636" w14:textId="66724165" w:rsidR="008F5685" w:rsidRDefault="008F5685">
                                <w:pPr>
                                  <w:rPr>
                                    <w:b/>
                                    <w:sz w:val="44"/>
                                    <w:szCs w:val="44"/>
                                  </w:rPr>
                                </w:pPr>
                                <w:r>
                                  <w:rPr>
                                    <w:b/>
                                    <w:sz w:val="44"/>
                                    <w:szCs w:val="44"/>
                                  </w:rPr>
                                  <w:t>Selvitys tehokkaan tiheyden mittarista</w:t>
                                </w:r>
                              </w:p>
                              <w:p w14:paraId="559B237A" w14:textId="77777777" w:rsidR="008F5685" w:rsidRDefault="008F5685">
                                <w:pPr>
                                  <w:rPr>
                                    <w:sz w:val="36"/>
                                    <w:szCs w:val="36"/>
                                  </w:rPr>
                                </w:pPr>
                              </w:p>
                              <w:p w14:paraId="3BACD68A" w14:textId="77777777" w:rsidR="008F5685" w:rsidRDefault="008F5685">
                                <w:pPr>
                                  <w:rPr>
                                    <w:sz w:val="28"/>
                                    <w:szCs w:val="28"/>
                                  </w:rPr>
                                </w:pPr>
                              </w:p>
                              <w:p w14:paraId="0BD4D8E5" w14:textId="5DCD3E98" w:rsidR="008F5685" w:rsidRDefault="008F5685">
                                <w:r>
                                  <w:rPr>
                                    <w:sz w:val="28"/>
                                    <w:szCs w:val="28"/>
                                  </w:rPr>
                                  <w:t xml:space="preserve">Petri Blomqvist, Antti Kauhanen, Heikki Metsäranta, Krista Riukula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2008AA77" id="_x0000_t202" coordsize="21600,21600" o:spt="202" path="m,l,21600r21600,l21600,xe">
                    <v:stroke joinstyle="miter"/>
                    <v:path gradientshapeok="t" o:connecttype="rect"/>
                  </v:shapetype>
                  <v:shape id="Tekstiruutu 16" o:spid="_x0000_s1026" type="#_x0000_t202" style="width:485.55pt;height:18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cGnMAIAAFcEAAAOAAAAZHJzL2Uyb0RvYy54bWysVFFv2jAQfp+0/2D5fSQwyjpEqFgrpkmo&#10;rQRTn41jE2uxz7MdEvbrd3YCRd2epr2Y893lzvd937G463RNjsJ5Baag41FOiTAcSmUOBf2+W3+4&#10;pcQHZkpWgxEFPQlP75bv3y1aOxcTqKAuhSNYxPh5awtahWDnWeZ5JTTzI7DCYFCC0yzg1R2y0rEW&#10;q+s6m+T5LGvBldYBF96j96EP0mWqL6Xg4UlKLwKpC4pvC+l06dzHM1su2PzgmK0UH57B/uEVmimD&#10;TS+lHlhgpHHqj1JacQceZBhx0BlIqbhIM+A04/zNNNuKWZFmQXC8vcDk/19Z/nh8dkSVyN2MEsM0&#10;crQTP3xQrmlCQ9CLELXWzzFzazE3dF+gw/Sz36MzTt5Jp+MvzkQwjmCfLgCLLhCOztl4NrvNMcQx&#10;NpnmkcFYJ3v93DofvgrQJBoFdchgApYdNz70qeeU2M3AWtV1YrE2pMUWH2/y9MElgsVrgz3iEP1j&#10;oxW6fTdMtofyhIM56NXhLV8rbL5hPjwzh3LAB6PEwxMesgZsAoNFSQXu19/8MR9ZwiglLcqroP5n&#10;w5ygpP5mkL/P4+k06jFdpjefJnhx15H9dcQ0+h5QwWNcJsuTGfNDfTalA/2Cm7CKXTHEDMfeBQ1n&#10;8z70osdN4mK1SkmoQMvCxmwtj6UjnBHaXffCnB3wD0jdI5yFyOZvaOhzeyJWTQCpEkcR4B7VAXdU&#10;b2J52LS4Htf3lPX6f7D8DQAA//8DAFBLAwQUAAYACAAAACEAY8/FAN4AAAAFAQAADwAAAGRycy9k&#10;b3ducmV2LnhtbEyPQUvDQBCF74L/YRnBm92kRRtjNqUEiiB6aO3F2yQ7TYK7szG7baO/3tWLXgYe&#10;7/HeN8VqskacaPS9YwXpLAFB3Djdc6tg/7q5yUD4gKzROCYFn+RhVV5eFJhrd+YtnXahFbGEfY4K&#10;uhCGXErfdGTRz9xAHL2DGy2GKMdW6hHPsdwaOU+SO2mx57jQ4UBVR8377mgVPFWbF9zWc5t9merx&#10;+bAePvZvt0pdX03rBxCBpvAXhh/8iA5lZKrdkbUXRkF8JPze6N0v0xRErWCxzBYgy0L+py+/AQAA&#10;//8DAFBLAQItABQABgAIAAAAIQC2gziS/gAAAOEBAAATAAAAAAAAAAAAAAAAAAAAAABbQ29udGVu&#10;dF9UeXBlc10ueG1sUEsBAi0AFAAGAAgAAAAhADj9If/WAAAAlAEAAAsAAAAAAAAAAAAAAAAALwEA&#10;AF9yZWxzLy5yZWxzUEsBAi0AFAAGAAgAAAAhAHiZwacwAgAAVwQAAA4AAAAAAAAAAAAAAAAALgIA&#10;AGRycy9lMm9Eb2MueG1sUEsBAi0AFAAGAAgAAAAhAGPPxQDeAAAABQEAAA8AAAAAAAAAAAAAAAAA&#10;igQAAGRycy9kb3ducmV2LnhtbFBLBQYAAAAABAAEAPMAAACVBQAAAAA=&#10;" filled="f" stroked="f" strokeweight=".5pt">
                    <v:textbox>
                      <w:txbxContent>
                        <w:sdt>
                          <w:sdtPr>
                            <w:rPr>
                              <w:b/>
                              <w:sz w:val="44"/>
                              <w:szCs w:val="44"/>
                            </w:rPr>
                            <w:alias w:val="Otsikko"/>
                            <w:tag w:val=""/>
                            <w:id w:val="-1062860151"/>
                            <w:showingPlcHdr/>
                            <w:dataBinding w:prefixMappings="xmlns:ns0='http://purl.org/dc/elements/1.1/' xmlns:ns1='http://schemas.openxmlformats.org/package/2006/metadata/core-properties' " w:xpath="/ns1:coreProperties[1]/ns0:title[1]" w:storeItemID="{6C3C8BC8-F283-45AE-878A-BAB7291924A1}"/>
                            <w:text w:multiLine="1"/>
                          </w:sdtPr>
                          <w:sdtEndPr/>
                          <w:sdtContent>
                            <w:p w14:paraId="53BBD5AF" w14:textId="6E73AC63" w:rsidR="008F5685" w:rsidRDefault="008F5685">
                              <w:pPr>
                                <w:rPr>
                                  <w:b/>
                                  <w:sz w:val="44"/>
                                  <w:szCs w:val="44"/>
                                </w:rPr>
                              </w:pPr>
                              <w:r>
                                <w:rPr>
                                  <w:b/>
                                  <w:sz w:val="44"/>
                                  <w:szCs w:val="44"/>
                                </w:rPr>
                                <w:t xml:space="preserve">     </w:t>
                              </w:r>
                            </w:p>
                          </w:sdtContent>
                        </w:sdt>
                        <w:p w14:paraId="68017636" w14:textId="66724165" w:rsidR="008F5685" w:rsidRDefault="008F5685">
                          <w:pPr>
                            <w:rPr>
                              <w:b/>
                              <w:sz w:val="44"/>
                              <w:szCs w:val="44"/>
                            </w:rPr>
                          </w:pPr>
                          <w:r>
                            <w:rPr>
                              <w:b/>
                              <w:sz w:val="44"/>
                              <w:szCs w:val="44"/>
                            </w:rPr>
                            <w:t>Selvitys tehokkaan tiheyden mittarista</w:t>
                          </w:r>
                        </w:p>
                        <w:p w14:paraId="559B237A" w14:textId="77777777" w:rsidR="008F5685" w:rsidRDefault="008F5685">
                          <w:pPr>
                            <w:rPr>
                              <w:sz w:val="36"/>
                              <w:szCs w:val="36"/>
                            </w:rPr>
                          </w:pPr>
                        </w:p>
                        <w:p w14:paraId="3BACD68A" w14:textId="77777777" w:rsidR="008F5685" w:rsidRDefault="008F5685">
                          <w:pPr>
                            <w:rPr>
                              <w:sz w:val="28"/>
                              <w:szCs w:val="28"/>
                            </w:rPr>
                          </w:pPr>
                        </w:p>
                        <w:p w14:paraId="0BD4D8E5" w14:textId="5DCD3E98" w:rsidR="008F5685" w:rsidRDefault="008F5685">
                          <w:r>
                            <w:rPr>
                              <w:sz w:val="28"/>
                              <w:szCs w:val="28"/>
                            </w:rPr>
                            <w:t xml:space="preserve">Petri Blomqvist, Antti Kauhanen, Heikki Metsäranta, Krista Riukula </w:t>
                          </w:r>
                        </w:p>
                      </w:txbxContent>
                    </v:textbox>
                    <w10:anchorlock/>
                  </v:shape>
                </w:pict>
              </mc:Fallback>
            </mc:AlternateContent>
          </w:r>
        </w:p>
        <w:p w14:paraId="266DB9E5" w14:textId="77777777" w:rsidR="00297C70" w:rsidRDefault="009A2687">
          <w:r w:rsidRPr="00442B8F">
            <w:rPr>
              <w:noProof/>
              <w:lang w:eastAsia="fi-FI"/>
            </w:rPr>
            <mc:AlternateContent>
              <mc:Choice Requires="wps">
                <w:drawing>
                  <wp:anchor distT="0" distB="0" distL="114300" distR="114300" simplePos="0" relativeHeight="251660288" behindDoc="0" locked="0" layoutInCell="1" allowOverlap="1" wp14:anchorId="64453F4E" wp14:editId="4F9A87EC">
                    <wp:simplePos x="0" y="0"/>
                    <wp:positionH relativeFrom="page">
                      <wp:posOffset>312420</wp:posOffset>
                    </wp:positionH>
                    <wp:positionV relativeFrom="page">
                      <wp:posOffset>8846820</wp:posOffset>
                    </wp:positionV>
                    <wp:extent cx="2026920" cy="1407160"/>
                    <wp:effectExtent l="0" t="0" r="0" b="2540"/>
                    <wp:wrapNone/>
                    <wp:docPr id="1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1407160"/>
                            </a:xfrm>
                            <a:prstGeom prst="rect">
                              <a:avLst/>
                            </a:prstGeom>
                            <a:noFill/>
                            <a:ln>
                              <a:noFill/>
                            </a:ln>
                          </wps:spPr>
                          <wps:txbx>
                            <w:txbxContent>
                              <w:p w14:paraId="0D796600" w14:textId="77777777" w:rsidR="008F5685" w:rsidRPr="009A2687" w:rsidRDefault="008F5685" w:rsidP="006E1153">
                                <w:pPr>
                                  <w:rPr>
                                    <w:color w:val="FFFFFF" w:themeColor="background1"/>
                                    <w:lang w:val="sv-FI"/>
                                  </w:rPr>
                                </w:pPr>
                                <w:r w:rsidRPr="009A2687">
                                  <w:rPr>
                                    <w:color w:val="FFFFFF" w:themeColor="background1"/>
                                    <w:lang w:val="sv-FI"/>
                                  </w:rPr>
                                  <w:t xml:space="preserve">Traficomin tutkimuksia </w:t>
                                </w:r>
                              </w:p>
                              <w:p w14:paraId="054ACA2C" w14:textId="77777777" w:rsidR="008F5685" w:rsidRPr="009A2687" w:rsidRDefault="008F5685" w:rsidP="009A2687">
                                <w:pPr>
                                  <w:rPr>
                                    <w:color w:val="FFFFFF" w:themeColor="background1"/>
                                    <w:lang w:val="sv-FI"/>
                                  </w:rPr>
                                </w:pPr>
                                <w:r w:rsidRPr="009A2687">
                                  <w:rPr>
                                    <w:color w:val="FFFFFF" w:themeColor="background1"/>
                                    <w:lang w:val="sv-FI"/>
                                  </w:rPr>
                                  <w:t>ja selvityksiä</w:t>
                                </w:r>
                                <w:r w:rsidRPr="009A2687">
                                  <w:rPr>
                                    <w:color w:val="FFFFFF" w:themeColor="background1"/>
                                    <w:lang w:val="sv-FI"/>
                                  </w:rPr>
                                  <w:br/>
                                  <w:t>Traficoms forsknings</w:t>
                                </w:r>
                                <w:r>
                                  <w:rPr>
                                    <w:color w:val="FFFFFF" w:themeColor="background1"/>
                                    <w:lang w:val="sv-FI"/>
                                  </w:rPr>
                                  <w:t>-</w:t>
                                </w:r>
                                <w:r w:rsidRPr="009A2687">
                                  <w:rPr>
                                    <w:color w:val="FFFFFF" w:themeColor="background1"/>
                                    <w:lang w:val="sv-FI"/>
                                  </w:rPr>
                                  <w:t xml:space="preserve">rapporter och utredningar </w:t>
                                </w:r>
                                <w:r>
                                  <w:rPr>
                                    <w:color w:val="FFFFFF" w:themeColor="background1"/>
                                    <w:lang w:val="sv-FI"/>
                                  </w:rPr>
                                  <w:br/>
                                </w:r>
                                <w:r w:rsidRPr="009A2687">
                                  <w:rPr>
                                    <w:color w:val="FFFFFF" w:themeColor="background1"/>
                                    <w:lang w:val="sv-FI"/>
                                  </w:rPr>
                                  <w:t>Traficom Research Reports</w:t>
                                </w:r>
                              </w:p>
                              <w:p w14:paraId="213AA7FE" w14:textId="77777777" w:rsidR="008F5685" w:rsidRPr="009A2687" w:rsidRDefault="008F5685" w:rsidP="006E1153">
                                <w:pPr>
                                  <w:rPr>
                                    <w:b/>
                                    <w:color w:val="FFFFFF" w:themeColor="background1"/>
                                    <w:sz w:val="24"/>
                                    <w:szCs w:val="24"/>
                                    <w:lang w:val="sv-FI"/>
                                  </w:rPr>
                                </w:pPr>
                              </w:p>
                              <w:p w14:paraId="624B82FA" w14:textId="7D36F7BC" w:rsidR="008F5685" w:rsidRPr="00F567FE" w:rsidRDefault="0040610B" w:rsidP="006E1153">
                                <w:pPr>
                                  <w:rPr>
                                    <w:color w:val="FFFFFF" w:themeColor="background1"/>
                                  </w:rPr>
                                </w:pPr>
                                <w:sdt>
                                  <w:sdtPr>
                                    <w:rPr>
                                      <w:b/>
                                      <w:color w:val="FFFFFF" w:themeColor="background1"/>
                                      <w:sz w:val="24"/>
                                      <w:szCs w:val="24"/>
                                    </w:rPr>
                                    <w:alias w:val="Avainsanat"/>
                                    <w:tag w:val=""/>
                                    <w:id w:val="1671285516"/>
                                    <w:dataBinding w:prefixMappings="xmlns:ns0='http://purl.org/dc/elements/1.1/' xmlns:ns1='http://schemas.openxmlformats.org/package/2006/metadata/core-properties' " w:xpath="/ns1:coreProperties[1]/ns1:keywords[1]" w:storeItemID="{6C3C8BC8-F283-45AE-878A-BAB7291924A1}"/>
                                    <w:text/>
                                  </w:sdtPr>
                                  <w:sdtEndPr/>
                                  <w:sdtContent>
                                    <w:r w:rsidR="008F5685">
                                      <w:rPr>
                                        <w:b/>
                                        <w:color w:val="FFFFFF" w:themeColor="background1"/>
                                        <w:sz w:val="24"/>
                                        <w:szCs w:val="24"/>
                                      </w:rPr>
                                      <w:t>8/2021</w:t>
                                    </w:r>
                                  </w:sdtContent>
                                </w:sdt>
                              </w:p>
                            </w:txbxContent>
                          </wps:txbx>
                          <wps:bodyPr rot="0" vert="horz" wrap="square" lIns="91440" tIns="45720" rIns="91440" bIns="45720" anchor="b"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4453F4E" id="Text Box 4" o:spid="_x0000_s1027" type="#_x0000_t202" style="position:absolute;margin-left:24.6pt;margin-top:696.6pt;width:159.6pt;height:110.8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3+W9QEAAM8DAAAOAAAAZHJzL2Uyb0RvYy54bWysU8tu2zAQvBfoPxC813rAtRvBcpAmSFEg&#10;bQok/QCKoiSiEpdd0pbcr++Ssl23vQW5EOTucjgzu9xcT0PP9gqdBlPybJFypoyEWpu25N+f7999&#10;4Mx5YWrRg1ElPyjHr7dv32xGW6gcOuhrhYxAjCtGW/LOe1skiZOdGoRbgFWGkg3gIDwdsU1qFCOh&#10;D32Sp+kqGQFriyCVcxS9m5N8G/GbRkn/2DROedaXnLj5uGJcq7Am240oWhS20/JIQ7yAxSC0oUfP&#10;UHfCC7ZD/R/UoCWCg8YvJAwJNI2WKmogNVn6j5qnTlgVtZA5zp5tcq8HK7/uvyHTNfVuzZkRA/Xo&#10;WU2efYSJLYM9o3UFVT1ZqvMThak0SnX2AeQPxwzcdsK06gYRxk6Jmuhl4WZycXXGcQGkGr9ATc+I&#10;nYcINDU4BO/IDUbo1KbDuTWBiqRgnuarq5xSknLZMl1nq9i8RBSn6xad/6RgYGFTcqTeR3ixf3A+&#10;0BHFqSS8ZuBe933sf2/+ClBhiET6gfHM3U/VNBt1cqWC+kB6EOapol9Amw7wF2cjTVTJ3c+dQMVZ&#10;/9mQJ1fZchlGMB6W79dBDV5mqsuMMJKgSl5xNm9v/Ty2O4u67eiluQsGbsjHRkeFwfCZ1ZE+TU0U&#10;fpzwMJaX51j15x9ufwMAAP//AwBQSwMEFAAGAAgAAAAhALJi7snfAAAADAEAAA8AAABkcnMvZG93&#10;bnJldi54bWxMj0FPhDAQhe8m/odmTLy5hYUQFikbs7rHjbr6A1o6AkpbQssC/97x5N5m3nt58025&#10;X0zPLjj6zlkB8SYChrZ2urONgM+P40MOzAdpteydRQErethXtzelLLSb7TtezqFhVGJ9IQW0IQwF&#10;575u0Ui/cQNa8r7caGSgdWy4HuVM5abn2yjKuJGdpQutHPDQYv1znoyAlze1qjT+PqbP0ar063w6&#10;1NNJiPu75ekRWMAl/IfhD5/QoSIm5SarPesFpLstJUlPdglNlEiyPAWmSMriNAdelfz6ieoXAAD/&#10;/wMAUEsBAi0AFAAGAAgAAAAhALaDOJL+AAAA4QEAABMAAAAAAAAAAAAAAAAAAAAAAFtDb250ZW50&#10;X1R5cGVzXS54bWxQSwECLQAUAAYACAAAACEAOP0h/9YAAACUAQAACwAAAAAAAAAAAAAAAAAvAQAA&#10;X3JlbHMvLnJlbHNQSwECLQAUAAYACAAAACEAAlN/lvUBAADPAwAADgAAAAAAAAAAAAAAAAAuAgAA&#10;ZHJzL2Uyb0RvYy54bWxQSwECLQAUAAYACAAAACEAsmLuyd8AAAAMAQAADwAAAAAAAAAAAAAAAABP&#10;BAAAZHJzL2Rvd25yZXYueG1sUEsFBgAAAAAEAAQA8wAAAFsFAAAAAA==&#10;" filled="f" stroked="f">
                    <v:textbox>
                      <w:txbxContent>
                        <w:p w14:paraId="0D796600" w14:textId="77777777" w:rsidR="008F5685" w:rsidRPr="009A2687" w:rsidRDefault="008F5685" w:rsidP="006E1153">
                          <w:pPr>
                            <w:rPr>
                              <w:color w:val="FFFFFF" w:themeColor="background1"/>
                              <w:lang w:val="sv-FI"/>
                            </w:rPr>
                          </w:pPr>
                          <w:r w:rsidRPr="009A2687">
                            <w:rPr>
                              <w:color w:val="FFFFFF" w:themeColor="background1"/>
                              <w:lang w:val="sv-FI"/>
                            </w:rPr>
                            <w:t xml:space="preserve">Traficomin tutkimuksia </w:t>
                          </w:r>
                        </w:p>
                        <w:p w14:paraId="054ACA2C" w14:textId="77777777" w:rsidR="008F5685" w:rsidRPr="009A2687" w:rsidRDefault="008F5685" w:rsidP="009A2687">
                          <w:pPr>
                            <w:rPr>
                              <w:color w:val="FFFFFF" w:themeColor="background1"/>
                              <w:lang w:val="sv-FI"/>
                            </w:rPr>
                          </w:pPr>
                          <w:r w:rsidRPr="009A2687">
                            <w:rPr>
                              <w:color w:val="FFFFFF" w:themeColor="background1"/>
                              <w:lang w:val="sv-FI"/>
                            </w:rPr>
                            <w:t>ja selvityksiä</w:t>
                          </w:r>
                          <w:r w:rsidRPr="009A2687">
                            <w:rPr>
                              <w:color w:val="FFFFFF" w:themeColor="background1"/>
                              <w:lang w:val="sv-FI"/>
                            </w:rPr>
                            <w:br/>
                            <w:t>Traficoms forsknings</w:t>
                          </w:r>
                          <w:r>
                            <w:rPr>
                              <w:color w:val="FFFFFF" w:themeColor="background1"/>
                              <w:lang w:val="sv-FI"/>
                            </w:rPr>
                            <w:t>-</w:t>
                          </w:r>
                          <w:r w:rsidRPr="009A2687">
                            <w:rPr>
                              <w:color w:val="FFFFFF" w:themeColor="background1"/>
                              <w:lang w:val="sv-FI"/>
                            </w:rPr>
                            <w:t xml:space="preserve">rapporter och utredningar </w:t>
                          </w:r>
                          <w:r>
                            <w:rPr>
                              <w:color w:val="FFFFFF" w:themeColor="background1"/>
                              <w:lang w:val="sv-FI"/>
                            </w:rPr>
                            <w:br/>
                          </w:r>
                          <w:r w:rsidRPr="009A2687">
                            <w:rPr>
                              <w:color w:val="FFFFFF" w:themeColor="background1"/>
                              <w:lang w:val="sv-FI"/>
                            </w:rPr>
                            <w:t>Traficom Research Reports</w:t>
                          </w:r>
                        </w:p>
                        <w:p w14:paraId="213AA7FE" w14:textId="77777777" w:rsidR="008F5685" w:rsidRPr="009A2687" w:rsidRDefault="008F5685" w:rsidP="006E1153">
                          <w:pPr>
                            <w:rPr>
                              <w:b/>
                              <w:color w:val="FFFFFF" w:themeColor="background1"/>
                              <w:sz w:val="24"/>
                              <w:szCs w:val="24"/>
                              <w:lang w:val="sv-FI"/>
                            </w:rPr>
                          </w:pPr>
                        </w:p>
                        <w:p w14:paraId="624B82FA" w14:textId="7D36F7BC" w:rsidR="008F5685" w:rsidRPr="00F567FE" w:rsidRDefault="00053F10" w:rsidP="006E1153">
                          <w:pPr>
                            <w:rPr>
                              <w:color w:val="FFFFFF" w:themeColor="background1"/>
                            </w:rPr>
                          </w:pPr>
                          <w:sdt>
                            <w:sdtPr>
                              <w:rPr>
                                <w:b/>
                                <w:color w:val="FFFFFF" w:themeColor="background1"/>
                                <w:sz w:val="24"/>
                                <w:szCs w:val="24"/>
                              </w:rPr>
                              <w:alias w:val="Avainsanat"/>
                              <w:tag w:val=""/>
                              <w:id w:val="1671285516"/>
                              <w:dataBinding w:prefixMappings="xmlns:ns0='http://purl.org/dc/elements/1.1/' xmlns:ns1='http://schemas.openxmlformats.org/package/2006/metadata/core-properties' " w:xpath="/ns1:coreProperties[1]/ns1:keywords[1]" w:storeItemID="{6C3C8BC8-F283-45AE-878A-BAB7291924A1}"/>
                              <w:text/>
                            </w:sdtPr>
                            <w:sdtEndPr/>
                            <w:sdtContent>
                              <w:r w:rsidR="008F5685">
                                <w:rPr>
                                  <w:b/>
                                  <w:color w:val="FFFFFF" w:themeColor="background1"/>
                                  <w:sz w:val="24"/>
                                  <w:szCs w:val="24"/>
                                </w:rPr>
                                <w:t>8/2021</w:t>
                              </w:r>
                            </w:sdtContent>
                          </w:sdt>
                        </w:p>
                      </w:txbxContent>
                    </v:textbox>
                    <w10:wrap anchorx="page" anchory="page"/>
                  </v:shape>
                </w:pict>
              </mc:Fallback>
            </mc:AlternateContent>
          </w:r>
          <w:r w:rsidR="00297C70">
            <w:br w:type="page"/>
          </w:r>
        </w:p>
      </w:sdtContent>
    </w:sdt>
    <w:p w14:paraId="5A814940" w14:textId="77777777" w:rsidR="00BB055F" w:rsidRDefault="00BB055F"/>
    <w:tbl>
      <w:tblPr>
        <w:tblStyle w:val="TableNormal1"/>
        <w:tblW w:w="9822" w:type="dxa"/>
        <w:tblInd w:w="100" w:type="dxa"/>
        <w:tblBorders>
          <w:top w:val="single" w:sz="4" w:space="0" w:color="818181"/>
          <w:left w:val="single" w:sz="4" w:space="0" w:color="818181"/>
          <w:bottom w:val="single" w:sz="4" w:space="0" w:color="818181"/>
          <w:right w:val="single" w:sz="4" w:space="0" w:color="818181"/>
          <w:insideH w:val="single" w:sz="4" w:space="0" w:color="818181"/>
          <w:insideV w:val="single" w:sz="4" w:space="0" w:color="818181"/>
        </w:tblBorders>
        <w:tblLayout w:type="fixed"/>
        <w:tblCellMar>
          <w:left w:w="57" w:type="dxa"/>
          <w:right w:w="28" w:type="dxa"/>
        </w:tblCellMar>
        <w:tblLook w:val="01E0" w:firstRow="1" w:lastRow="1" w:firstColumn="1" w:lastColumn="1" w:noHBand="0" w:noVBand="0"/>
      </w:tblPr>
      <w:tblGrid>
        <w:gridCol w:w="4720"/>
        <w:gridCol w:w="1417"/>
        <w:gridCol w:w="1271"/>
        <w:gridCol w:w="572"/>
        <w:gridCol w:w="1842"/>
      </w:tblGrid>
      <w:tr w:rsidR="00D577E9" w:rsidRPr="00E46B41" w14:paraId="49B31E1D" w14:textId="77777777" w:rsidTr="007E4C69">
        <w:trPr>
          <w:trHeight w:val="397"/>
        </w:trPr>
        <w:tc>
          <w:tcPr>
            <w:tcW w:w="7408" w:type="dxa"/>
            <w:gridSpan w:val="3"/>
            <w:vMerge w:val="restart"/>
            <w:tcBorders>
              <w:top w:val="nil"/>
              <w:left w:val="nil"/>
              <w:right w:val="nil"/>
            </w:tcBorders>
          </w:tcPr>
          <w:p w14:paraId="2CE40BE5" w14:textId="77777777" w:rsidR="00BB0C3C" w:rsidRPr="00E46B41" w:rsidRDefault="00F32CB5" w:rsidP="007E4C69">
            <w:pPr>
              <w:rPr>
                <w:rFonts w:asciiTheme="minorHAnsi" w:hAnsiTheme="minorHAnsi"/>
                <w:sz w:val="16"/>
                <w:lang w:val="fi-FI"/>
              </w:rPr>
            </w:pPr>
            <w:r>
              <w:rPr>
                <w:noProof/>
                <w:lang w:eastAsia="fi-FI"/>
              </w:rPr>
              <w:drawing>
                <wp:inline distT="0" distB="0" distL="0" distR="0" wp14:anchorId="765D5AD9" wp14:editId="7673292B">
                  <wp:extent cx="1741170" cy="364703"/>
                  <wp:effectExtent l="0" t="0" r="0" b="0"/>
                  <wp:docPr id="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32415"/>
                          <a:stretch/>
                        </pic:blipFill>
                        <pic:spPr bwMode="auto">
                          <a:xfrm>
                            <a:off x="0" y="0"/>
                            <a:ext cx="1742400" cy="3649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4" w:type="dxa"/>
            <w:gridSpan w:val="2"/>
            <w:tcBorders>
              <w:top w:val="nil"/>
              <w:left w:val="nil"/>
              <w:bottom w:val="nil"/>
              <w:right w:val="nil"/>
            </w:tcBorders>
            <w:vAlign w:val="bottom"/>
          </w:tcPr>
          <w:p w14:paraId="43A91C65" w14:textId="77777777" w:rsidR="00D577E9" w:rsidRPr="00E46B41" w:rsidRDefault="00D577E9" w:rsidP="007E4C69">
            <w:pPr>
              <w:rPr>
                <w:rFonts w:asciiTheme="minorHAnsi" w:hAnsiTheme="minorHAnsi"/>
                <w:lang w:val="fi-FI"/>
              </w:rPr>
            </w:pPr>
            <w:r w:rsidRPr="00E46B41">
              <w:rPr>
                <w:rFonts w:asciiTheme="minorHAnsi" w:hAnsiTheme="minorHAnsi"/>
                <w:sz w:val="18"/>
                <w:lang w:val="fi-FI"/>
              </w:rPr>
              <w:t>Julkaisupäivämäärä</w:t>
            </w:r>
          </w:p>
        </w:tc>
      </w:tr>
      <w:tr w:rsidR="00D577E9" w:rsidRPr="00E46B41" w14:paraId="3BFFBA39" w14:textId="77777777" w:rsidTr="007E4C69">
        <w:trPr>
          <w:trHeight w:val="270"/>
        </w:trPr>
        <w:tc>
          <w:tcPr>
            <w:tcW w:w="7408" w:type="dxa"/>
            <w:gridSpan w:val="3"/>
            <w:vMerge/>
            <w:tcBorders>
              <w:left w:val="nil"/>
              <w:bottom w:val="single" w:sz="4" w:space="0" w:color="818181"/>
              <w:right w:val="nil"/>
            </w:tcBorders>
          </w:tcPr>
          <w:p w14:paraId="77972D0D" w14:textId="77777777" w:rsidR="00D577E9" w:rsidRPr="00E46B41" w:rsidRDefault="00D577E9" w:rsidP="007E4C69">
            <w:pPr>
              <w:rPr>
                <w:rFonts w:asciiTheme="minorHAnsi" w:hAnsiTheme="minorHAnsi"/>
                <w:sz w:val="16"/>
                <w:lang w:val="fi-FI"/>
              </w:rPr>
            </w:pPr>
          </w:p>
        </w:tc>
        <w:tc>
          <w:tcPr>
            <w:tcW w:w="2414" w:type="dxa"/>
            <w:gridSpan w:val="2"/>
            <w:tcBorders>
              <w:top w:val="nil"/>
              <w:left w:val="nil"/>
              <w:bottom w:val="nil"/>
              <w:right w:val="nil"/>
            </w:tcBorders>
          </w:tcPr>
          <w:p w14:paraId="7DA848D9" w14:textId="61B63DB4" w:rsidR="00D577E9" w:rsidRPr="00F5184F" w:rsidRDefault="00F5184F" w:rsidP="007E4C69">
            <w:pPr>
              <w:rPr>
                <w:rFonts w:asciiTheme="minorHAnsi" w:hAnsiTheme="minorHAnsi"/>
                <w:sz w:val="16"/>
                <w:lang w:val="fi-FI"/>
              </w:rPr>
            </w:pPr>
            <w:r w:rsidRPr="00F5184F">
              <w:t>5</w:t>
            </w:r>
            <w:r w:rsidR="00652133" w:rsidRPr="00F5184F">
              <w:t>.</w:t>
            </w:r>
            <w:r w:rsidRPr="00F5184F">
              <w:t>8</w:t>
            </w:r>
            <w:r w:rsidR="00652133" w:rsidRPr="00F5184F">
              <w:t>.2021</w:t>
            </w:r>
          </w:p>
        </w:tc>
      </w:tr>
      <w:tr w:rsidR="00D577E9" w:rsidRPr="00E46B41" w14:paraId="7E83325A" w14:textId="77777777" w:rsidTr="007E4C69">
        <w:trPr>
          <w:trHeight w:val="567"/>
        </w:trPr>
        <w:tc>
          <w:tcPr>
            <w:tcW w:w="9822" w:type="dxa"/>
            <w:gridSpan w:val="5"/>
            <w:tcBorders>
              <w:top w:val="single" w:sz="4" w:space="0" w:color="818181"/>
              <w:bottom w:val="single" w:sz="4" w:space="0" w:color="818181"/>
            </w:tcBorders>
          </w:tcPr>
          <w:p w14:paraId="5C97ED41" w14:textId="77777777" w:rsidR="00D577E9" w:rsidRPr="00E46B41" w:rsidRDefault="00D577E9" w:rsidP="007E4C69">
            <w:pPr>
              <w:rPr>
                <w:rFonts w:asciiTheme="minorHAnsi" w:hAnsiTheme="minorHAnsi"/>
                <w:sz w:val="16"/>
                <w:lang w:val="fi-FI"/>
              </w:rPr>
            </w:pPr>
            <w:r w:rsidRPr="00E46B41">
              <w:rPr>
                <w:rFonts w:asciiTheme="minorHAnsi" w:hAnsiTheme="minorHAnsi"/>
                <w:sz w:val="18"/>
                <w:lang w:val="fi-FI"/>
              </w:rPr>
              <w:t>Julkaisun</w:t>
            </w:r>
            <w:r w:rsidRPr="00E46B41">
              <w:rPr>
                <w:rFonts w:asciiTheme="minorHAnsi" w:hAnsiTheme="minorHAnsi"/>
                <w:sz w:val="16"/>
                <w:lang w:val="fi-FI"/>
              </w:rPr>
              <w:t xml:space="preserve"> </w:t>
            </w:r>
            <w:r w:rsidRPr="00E46B41">
              <w:rPr>
                <w:rFonts w:asciiTheme="minorHAnsi" w:hAnsiTheme="minorHAnsi"/>
                <w:sz w:val="18"/>
                <w:lang w:val="fi-FI"/>
              </w:rPr>
              <w:t>nimi</w:t>
            </w:r>
          </w:p>
          <w:p w14:paraId="4B75BA91" w14:textId="1EB64117" w:rsidR="00D577E9" w:rsidRPr="007D63C7" w:rsidRDefault="007D63C7" w:rsidP="007E4C69">
            <w:pPr>
              <w:rPr>
                <w:rFonts w:asciiTheme="minorHAnsi" w:hAnsiTheme="minorHAnsi"/>
                <w:lang w:val="fi-FI"/>
              </w:rPr>
            </w:pPr>
            <w:r w:rsidRPr="007D63C7">
              <w:rPr>
                <w:lang w:val="fi-FI"/>
              </w:rPr>
              <w:t>Selvitys tehokkaan t</w:t>
            </w:r>
            <w:r>
              <w:rPr>
                <w:lang w:val="fi-FI"/>
              </w:rPr>
              <w:t>iheyden mittarista</w:t>
            </w:r>
          </w:p>
        </w:tc>
      </w:tr>
      <w:tr w:rsidR="00D577E9" w:rsidRPr="00E46B41" w14:paraId="3CB99C37" w14:textId="77777777" w:rsidTr="007E4C69">
        <w:trPr>
          <w:trHeight w:val="689"/>
        </w:trPr>
        <w:tc>
          <w:tcPr>
            <w:tcW w:w="9822" w:type="dxa"/>
            <w:gridSpan w:val="5"/>
            <w:tcBorders>
              <w:top w:val="single" w:sz="4" w:space="0" w:color="818181"/>
            </w:tcBorders>
          </w:tcPr>
          <w:p w14:paraId="0A2F9332" w14:textId="77777777" w:rsidR="00D577E9" w:rsidRPr="00E46B41" w:rsidRDefault="00D577E9" w:rsidP="007E4C69">
            <w:pPr>
              <w:rPr>
                <w:rFonts w:asciiTheme="minorHAnsi" w:hAnsiTheme="minorHAnsi"/>
                <w:sz w:val="16"/>
                <w:lang w:val="fi-FI"/>
              </w:rPr>
            </w:pPr>
            <w:r w:rsidRPr="00E46B41">
              <w:rPr>
                <w:rFonts w:asciiTheme="minorHAnsi" w:hAnsiTheme="minorHAnsi"/>
                <w:sz w:val="18"/>
                <w:lang w:val="fi-FI"/>
              </w:rPr>
              <w:t>Tekijät</w:t>
            </w:r>
          </w:p>
          <w:p w14:paraId="5E2E993D" w14:textId="33B1AE5D" w:rsidR="00D577E9" w:rsidRPr="007D63C7" w:rsidRDefault="007D63C7" w:rsidP="007E4C69">
            <w:pPr>
              <w:rPr>
                <w:rFonts w:asciiTheme="minorHAnsi" w:hAnsiTheme="minorHAnsi"/>
                <w:lang w:val="fi-FI"/>
              </w:rPr>
            </w:pPr>
            <w:r w:rsidRPr="007D63C7">
              <w:rPr>
                <w:lang w:val="fi-FI"/>
              </w:rPr>
              <w:t>Petri Blomqvist, Antti Kauhanen, Heikki Metsäranta, Krista Riukula</w:t>
            </w:r>
          </w:p>
        </w:tc>
      </w:tr>
      <w:tr w:rsidR="00D577E9" w:rsidRPr="00E46B41" w14:paraId="3F4FA38A" w14:textId="77777777" w:rsidTr="0099001E">
        <w:trPr>
          <w:trHeight w:val="779"/>
        </w:trPr>
        <w:tc>
          <w:tcPr>
            <w:tcW w:w="9822" w:type="dxa"/>
            <w:gridSpan w:val="5"/>
          </w:tcPr>
          <w:p w14:paraId="37AAC8C4" w14:textId="77777777" w:rsidR="00D577E9" w:rsidRPr="00E46B41" w:rsidRDefault="00D577E9" w:rsidP="007E4C69">
            <w:pPr>
              <w:rPr>
                <w:rFonts w:asciiTheme="minorHAnsi" w:hAnsiTheme="minorHAnsi"/>
                <w:sz w:val="18"/>
                <w:lang w:val="fi-FI"/>
              </w:rPr>
            </w:pPr>
            <w:r w:rsidRPr="00E46B41">
              <w:rPr>
                <w:rFonts w:asciiTheme="minorHAnsi" w:hAnsiTheme="minorHAnsi"/>
                <w:sz w:val="18"/>
                <w:lang w:val="fi-FI"/>
              </w:rPr>
              <w:t>Toimeksiantaja ja asettamispäivämäärä</w:t>
            </w:r>
          </w:p>
          <w:p w14:paraId="2DE4D86D" w14:textId="0BB443D2" w:rsidR="00D577E9" w:rsidRPr="007D63C7" w:rsidRDefault="007D63C7" w:rsidP="007E4C69">
            <w:pPr>
              <w:rPr>
                <w:rFonts w:asciiTheme="minorHAnsi" w:hAnsiTheme="minorHAnsi"/>
                <w:lang w:val="fi-FI"/>
              </w:rPr>
            </w:pPr>
            <w:r w:rsidRPr="007D63C7">
              <w:rPr>
                <w:lang w:val="fi-FI"/>
              </w:rPr>
              <w:t>Liikenne- j</w:t>
            </w:r>
            <w:r>
              <w:rPr>
                <w:lang w:val="fi-FI"/>
              </w:rPr>
              <w:t>a viestintävirasto</w:t>
            </w:r>
            <w:r w:rsidR="00C14A1C">
              <w:rPr>
                <w:lang w:val="fi-FI"/>
              </w:rPr>
              <w:t xml:space="preserve"> Traficom</w:t>
            </w:r>
            <w:r w:rsidR="00F5184F">
              <w:rPr>
                <w:lang w:val="fi-FI"/>
              </w:rPr>
              <w:t xml:space="preserve"> 12.1.2021</w:t>
            </w:r>
          </w:p>
        </w:tc>
      </w:tr>
      <w:tr w:rsidR="00D577E9" w:rsidRPr="00E46B41" w14:paraId="70B10A72" w14:textId="77777777" w:rsidTr="007E4C69">
        <w:trPr>
          <w:trHeight w:val="804"/>
        </w:trPr>
        <w:tc>
          <w:tcPr>
            <w:tcW w:w="4720" w:type="dxa"/>
          </w:tcPr>
          <w:p w14:paraId="6D41CC15" w14:textId="6ECCEBD9" w:rsidR="00D577E9" w:rsidRPr="00E46B41" w:rsidRDefault="00D577E9" w:rsidP="007E4C69">
            <w:pPr>
              <w:rPr>
                <w:rFonts w:asciiTheme="minorHAnsi" w:hAnsiTheme="minorHAnsi"/>
                <w:b/>
                <w:sz w:val="18"/>
                <w:lang w:val="fi-FI"/>
              </w:rPr>
            </w:pPr>
            <w:r w:rsidRPr="00E46B41">
              <w:rPr>
                <w:rFonts w:asciiTheme="minorHAnsi" w:hAnsiTheme="minorHAnsi"/>
                <w:sz w:val="18"/>
                <w:lang w:val="fi-FI"/>
              </w:rPr>
              <w:t>Julkaisusarjan nimi ja numero</w:t>
            </w:r>
            <w:r w:rsidRPr="00E46B41">
              <w:rPr>
                <w:rFonts w:asciiTheme="minorHAnsi" w:hAnsiTheme="minorHAnsi"/>
                <w:sz w:val="18"/>
                <w:lang w:val="fi-FI"/>
              </w:rPr>
              <w:br/>
            </w:r>
            <w:r w:rsidRPr="00E46B41">
              <w:rPr>
                <w:rFonts w:asciiTheme="minorHAnsi" w:hAnsiTheme="minorHAnsi"/>
                <w:b/>
                <w:lang w:val="fi-FI"/>
              </w:rPr>
              <w:t xml:space="preserve">Traficomin tutkimuksia ja selvityksiä </w:t>
            </w:r>
            <w:sdt>
              <w:sdtPr>
                <w:rPr>
                  <w:b/>
                </w:rPr>
                <w:alias w:val="Avainsanat"/>
                <w:tag w:val=""/>
                <w:id w:val="1656794871"/>
                <w:placeholder>
                  <w:docPart w:val="2D8BC1BCFCD14B75990FC7107C2FE0B9"/>
                </w:placeholder>
                <w:dataBinding w:prefixMappings="xmlns:ns0='http://purl.org/dc/elements/1.1/' xmlns:ns1='http://schemas.openxmlformats.org/package/2006/metadata/core-properties' " w:xpath="/ns1:coreProperties[1]/ns1:keywords[1]" w:storeItemID="{6C3C8BC8-F283-45AE-878A-BAB7291924A1}"/>
                <w:text/>
              </w:sdtPr>
              <w:sdtEndPr/>
              <w:sdtContent>
                <w:r w:rsidR="00652133">
                  <w:rPr>
                    <w:b/>
                    <w:lang w:val="fi-FI"/>
                  </w:rPr>
                  <w:t>8</w:t>
                </w:r>
                <w:r w:rsidR="00D548E6" w:rsidRPr="00D548E6">
                  <w:rPr>
                    <w:b/>
                    <w:lang w:val="fi-FI"/>
                  </w:rPr>
                  <w:t>/2021</w:t>
                </w:r>
              </w:sdtContent>
            </w:sdt>
          </w:p>
        </w:tc>
        <w:tc>
          <w:tcPr>
            <w:tcW w:w="5102" w:type="dxa"/>
            <w:gridSpan w:val="4"/>
          </w:tcPr>
          <w:p w14:paraId="3580C8B9" w14:textId="77777777" w:rsidR="00F5184F" w:rsidRDefault="00F5184F" w:rsidP="00652133">
            <w:pPr>
              <w:rPr>
                <w:rFonts w:asciiTheme="minorHAnsi" w:hAnsiTheme="minorHAnsi"/>
                <w:sz w:val="18"/>
                <w:szCs w:val="18"/>
                <w:lang w:val="fi-FI"/>
              </w:rPr>
            </w:pPr>
          </w:p>
          <w:p w14:paraId="7101BEEA" w14:textId="44275F53" w:rsidR="00652133" w:rsidRPr="00652133" w:rsidRDefault="00652133" w:rsidP="00652133">
            <w:pPr>
              <w:rPr>
                <w:rFonts w:asciiTheme="minorHAnsi" w:hAnsiTheme="minorHAnsi"/>
                <w:sz w:val="18"/>
                <w:szCs w:val="18"/>
                <w:lang w:val="fi-FI"/>
              </w:rPr>
            </w:pPr>
            <w:r w:rsidRPr="00652133">
              <w:rPr>
                <w:rFonts w:asciiTheme="minorHAnsi" w:hAnsiTheme="minorHAnsi"/>
                <w:sz w:val="18"/>
                <w:szCs w:val="18"/>
                <w:lang w:val="fi-FI"/>
              </w:rPr>
              <w:t>ISBN 978-952-311-770-9</w:t>
            </w:r>
          </w:p>
          <w:p w14:paraId="2A1131D2" w14:textId="63D7C2CF" w:rsidR="00D577E9" w:rsidRPr="00E46B41" w:rsidRDefault="00652133" w:rsidP="00652133">
            <w:pPr>
              <w:rPr>
                <w:rFonts w:asciiTheme="minorHAnsi" w:hAnsiTheme="minorHAnsi"/>
                <w:sz w:val="18"/>
                <w:lang w:val="fi-FI"/>
              </w:rPr>
            </w:pPr>
            <w:r w:rsidRPr="00652133">
              <w:rPr>
                <w:rFonts w:asciiTheme="minorHAnsi" w:hAnsiTheme="minorHAnsi"/>
                <w:sz w:val="18"/>
                <w:szCs w:val="18"/>
                <w:lang w:val="fi-FI"/>
              </w:rPr>
              <w:t>ISSN 2669-8781 (verkkojulkaisu)</w:t>
            </w:r>
          </w:p>
        </w:tc>
      </w:tr>
      <w:tr w:rsidR="00D577E9" w:rsidRPr="00E46B41" w14:paraId="0FE6E707" w14:textId="77777777" w:rsidTr="008E715A">
        <w:trPr>
          <w:trHeight w:val="643"/>
        </w:trPr>
        <w:tc>
          <w:tcPr>
            <w:tcW w:w="9822" w:type="dxa"/>
            <w:gridSpan w:val="5"/>
          </w:tcPr>
          <w:p w14:paraId="52EAAA5A" w14:textId="77777777" w:rsidR="00D577E9" w:rsidRPr="00E46B41" w:rsidRDefault="00D577E9" w:rsidP="007E4C69">
            <w:pPr>
              <w:rPr>
                <w:rFonts w:asciiTheme="minorHAnsi" w:hAnsiTheme="minorHAnsi"/>
                <w:sz w:val="16"/>
                <w:lang w:val="fi-FI"/>
              </w:rPr>
            </w:pPr>
            <w:r w:rsidRPr="00E46B41">
              <w:rPr>
                <w:rFonts w:asciiTheme="minorHAnsi" w:hAnsiTheme="minorHAnsi"/>
                <w:sz w:val="18"/>
                <w:lang w:val="fi-FI"/>
              </w:rPr>
              <w:t>Asiasanat</w:t>
            </w:r>
          </w:p>
          <w:p w14:paraId="0F96311D" w14:textId="36950135" w:rsidR="00D577E9" w:rsidRPr="007D63C7" w:rsidRDefault="007D63C7" w:rsidP="007E4C69">
            <w:pPr>
              <w:rPr>
                <w:rFonts w:asciiTheme="minorHAnsi" w:hAnsiTheme="minorHAnsi"/>
                <w:lang w:val="fi-FI"/>
              </w:rPr>
            </w:pPr>
            <w:r w:rsidRPr="007D63C7">
              <w:rPr>
                <w:lang w:val="fi-FI"/>
              </w:rPr>
              <w:t>Tehokas tiheys, kasautuminen, a</w:t>
            </w:r>
            <w:r>
              <w:rPr>
                <w:lang w:val="fi-FI"/>
              </w:rPr>
              <w:t>gglomeraatio, liikennejärjestelmä, liikennehankkeet, taloudelliset vaikutukset</w:t>
            </w:r>
          </w:p>
        </w:tc>
      </w:tr>
      <w:tr w:rsidR="00D577E9" w:rsidRPr="00E46B41" w14:paraId="69716693" w14:textId="77777777" w:rsidTr="0099001E">
        <w:trPr>
          <w:trHeight w:val="7952"/>
        </w:trPr>
        <w:tc>
          <w:tcPr>
            <w:tcW w:w="9822" w:type="dxa"/>
            <w:gridSpan w:val="5"/>
          </w:tcPr>
          <w:p w14:paraId="2839A194" w14:textId="77777777" w:rsidR="00D577E9" w:rsidRPr="00E46B41" w:rsidRDefault="00D577E9" w:rsidP="007E4C69">
            <w:pPr>
              <w:rPr>
                <w:rFonts w:asciiTheme="minorHAnsi" w:hAnsiTheme="minorHAnsi"/>
                <w:sz w:val="16"/>
                <w:lang w:val="fi-FI"/>
              </w:rPr>
            </w:pPr>
            <w:r w:rsidRPr="00E46B41">
              <w:rPr>
                <w:rFonts w:asciiTheme="minorHAnsi" w:hAnsiTheme="minorHAnsi"/>
                <w:sz w:val="18"/>
                <w:lang w:val="fi-FI"/>
              </w:rPr>
              <w:t>Tiivistelmä</w:t>
            </w:r>
          </w:p>
          <w:p w14:paraId="3FC74B31" w14:textId="494DB26E" w:rsidR="008E715A" w:rsidRPr="007702A1" w:rsidRDefault="008E715A" w:rsidP="0099001E">
            <w:pPr>
              <w:pStyle w:val="BodyText"/>
              <w:spacing w:before="120"/>
              <w:ind w:left="34"/>
              <w:rPr>
                <w:lang w:val="fi-FI"/>
              </w:rPr>
            </w:pPr>
            <w:r w:rsidRPr="007702A1">
              <w:rPr>
                <w:lang w:val="fi-FI"/>
              </w:rPr>
              <w:t xml:space="preserve">Tässä työssä on määritelty Suomeen soveltuva tehokkaan tiheyden mittari. Mittarin määrittely on yksi vaihe kasautumisvaikutusten arvioinnin kehittämistä ja </w:t>
            </w:r>
            <w:r w:rsidR="0007786C">
              <w:rPr>
                <w:lang w:val="fi-FI"/>
              </w:rPr>
              <w:t xml:space="preserve">osa </w:t>
            </w:r>
            <w:r w:rsidRPr="007702A1">
              <w:rPr>
                <w:lang w:val="fi-FI"/>
              </w:rPr>
              <w:t>liikennejärjestelmän laajempien vaikutusten arvioinnin tutkimus- ja kehityskokonaisuutta. Työhön on sisältynyt katsaus</w:t>
            </w:r>
            <w:r w:rsidR="0007786C">
              <w:rPr>
                <w:lang w:val="fi-FI"/>
              </w:rPr>
              <w:t xml:space="preserve"> </w:t>
            </w:r>
            <w:r w:rsidRPr="007702A1">
              <w:rPr>
                <w:lang w:val="fi-FI"/>
              </w:rPr>
              <w:t xml:space="preserve">aiheen tutkimuskirjallisuuteen, tehokkaan tiheyden mittarin määrittely, parametrien estimointi liikennetutkimusaineistolla sekä mittarin testaus. Tutkimus- ja kehitystyön seuraavasta vaiheesta eli tuottavuusjoustojen estimoinnista esitetään alustava suunnitelma. </w:t>
            </w:r>
          </w:p>
          <w:p w14:paraId="5B9C68B2" w14:textId="7EC5038D" w:rsidR="008E715A" w:rsidRPr="007702A1" w:rsidRDefault="008E715A" w:rsidP="0099001E">
            <w:pPr>
              <w:pStyle w:val="BodyText"/>
              <w:ind w:left="32"/>
              <w:rPr>
                <w:lang w:val="fi-FI"/>
              </w:rPr>
            </w:pPr>
            <w:r w:rsidRPr="008E715A">
              <w:rPr>
                <w:lang w:val="fi-FI"/>
              </w:rPr>
              <w:t xml:space="preserve">Tutkimusten mukaan paras tapa kuvata kasautumista on tehokas tiheys. </w:t>
            </w:r>
            <w:r w:rsidRPr="007702A1">
              <w:rPr>
                <w:lang w:val="fi-FI"/>
              </w:rPr>
              <w:t xml:space="preserve">Tehokkaan tiheyden mittarin määrittelyssä ratkaistavia asioita ovat aluerajaus, taloudellisen massan määre, etäisyysmitta ja etäisyyden merkitys (vaikutuksen vaimeneminen). Mahdollisimman tarkkaa aluejakoa pidetään tavoiteltavana tehokkaan tiheyden laskennassa, koska vaikutukset vaimenevat nopeasti. Taloudellinen massa määritetään yleisesti työpaikkojen määrän perusteella. Yleistetty matkakustannus on suositelluin etäisyysmitta. Vaimenemiskertoimen valinta on empiirinen kysymys siitä, mikä muoto vastaa parhaiten havaintoja. Kasautumisvaikutusten arviointi on ohjeistettu osaksi väylähankkeiden laajempien taloudellisten vaikutusten arviointia Iso-Britanniassa ja saman mallin mukaisesti muutamassa muussa maassa. Kasautumisilmiö ja sen arviointi on kuitenkin Iso-Britanniassakin edelleen tutkimuksen kohteena. </w:t>
            </w:r>
          </w:p>
          <w:p w14:paraId="1A6962F6" w14:textId="77777777" w:rsidR="008E715A" w:rsidRPr="007702A1" w:rsidRDefault="008E715A" w:rsidP="0099001E">
            <w:pPr>
              <w:pStyle w:val="BodyText"/>
              <w:ind w:left="32"/>
              <w:rPr>
                <w:lang w:val="fi-FI"/>
              </w:rPr>
            </w:pPr>
            <w:r w:rsidRPr="007702A1">
              <w:rPr>
                <w:lang w:val="fi-FI"/>
              </w:rPr>
              <w:t xml:space="preserve">Suomeen soveltuvaksi tehokkaan tiheyden mittariksi suositellaan toimialaryhmät erottelevaa mallin muotoa, jonka tekijöitä ovat kulkutapaosuuksin painotettu alueiden välisten työperäisten matkojen matkavastus, alueiden työpaikkamäärä, estimoitu vaimennusparametri ja toimialaryhmäkohtaiset kertoimet. Tehokas tiheys määritetään mahdollisimman tarkalle aluejaolle ja yhdistetään tarvittaessa suurempaan aluejakoon työpaikkojen määrän suhteessa. </w:t>
            </w:r>
          </w:p>
          <w:p w14:paraId="30262700" w14:textId="77777777" w:rsidR="008E715A" w:rsidRDefault="008E715A" w:rsidP="0099001E">
            <w:pPr>
              <w:pStyle w:val="BodyText"/>
              <w:ind w:left="32"/>
              <w:rPr>
                <w:lang w:val="fi-FI"/>
              </w:rPr>
            </w:pPr>
            <w:r w:rsidRPr="007702A1">
              <w:rPr>
                <w:lang w:val="fi-FI"/>
              </w:rPr>
              <w:t xml:space="preserve">Kasautumisvaikutusten arvioinnin tutkimus- ja kehityskokonaisuuden seuraava vaihe on toimialakohtaisten tuottavuusjoustojen määrittäminen tuotantofunktion estimoinnilla. Tuotantofunktion estimointi olisi perusteltua tehdä Helsingin seudun lisäksi esimerkiksi Turun seudulla sekä valtakunnallisella tasolla alueellisten erojen selvittämiseksi. </w:t>
            </w:r>
            <w:r w:rsidRPr="008E715A">
              <w:rPr>
                <w:lang w:val="fi-FI"/>
              </w:rPr>
              <w:t xml:space="preserve">Tutkimuksessa tulee tehdä herkkyystarkastelua vaimennusparametristä ja tarkastella eri kulkutapojen matkavastusmuutosten merkityseroja tuottavuuteen. </w:t>
            </w:r>
          </w:p>
          <w:p w14:paraId="45F880C9" w14:textId="784C9980" w:rsidR="00D577E9" w:rsidRPr="00652133" w:rsidRDefault="008E715A" w:rsidP="0099001E">
            <w:pPr>
              <w:pStyle w:val="BodyText"/>
              <w:ind w:left="32"/>
              <w:rPr>
                <w:lang w:val="fi-FI"/>
              </w:rPr>
            </w:pPr>
            <w:r w:rsidRPr="008E715A">
              <w:rPr>
                <w:lang w:val="fi-FI"/>
              </w:rPr>
              <w:t>Tutkimustyön rinnalla kasautumisvaikutu</w:t>
            </w:r>
            <w:r>
              <w:rPr>
                <w:lang w:val="fi-FI"/>
              </w:rPr>
              <w:t xml:space="preserve">sten tarkastelua tehdään </w:t>
            </w:r>
            <w:r w:rsidRPr="008E715A">
              <w:rPr>
                <w:lang w:val="fi-FI"/>
              </w:rPr>
              <w:t>liikenne- ja viestintäministeriön tarkastelukehikon mukaisesti</w:t>
            </w:r>
            <w:r>
              <w:rPr>
                <w:lang w:val="fi-FI"/>
              </w:rPr>
              <w:t xml:space="preserve"> työperäisten matkojen vastusmuutosten avulla ja pääosin laadullisena</w:t>
            </w:r>
            <w:r w:rsidRPr="008E715A">
              <w:rPr>
                <w:lang w:val="fi-FI"/>
              </w:rPr>
              <w:t>.</w:t>
            </w:r>
            <w:r>
              <w:rPr>
                <w:lang w:val="fi-FI"/>
              </w:rPr>
              <w:t xml:space="preserve"> Kasautumisvaikutusten arvioinnin kehitystyön tavoitteena on menetelmän ja sen käyttökohteiden rajaus osaksi liikenteen ja maankäytön suunnittelun arviointiohjeistusta.</w:t>
            </w:r>
          </w:p>
        </w:tc>
      </w:tr>
      <w:tr w:rsidR="00D577E9" w:rsidRPr="00E46B41" w14:paraId="2F3E1419" w14:textId="77777777" w:rsidTr="0099001E">
        <w:trPr>
          <w:trHeight w:val="663"/>
        </w:trPr>
        <w:tc>
          <w:tcPr>
            <w:tcW w:w="4720" w:type="dxa"/>
          </w:tcPr>
          <w:p w14:paraId="3E790126" w14:textId="77777777" w:rsidR="00D577E9" w:rsidRPr="00E46B41" w:rsidRDefault="00D577E9" w:rsidP="007E4C69">
            <w:pPr>
              <w:rPr>
                <w:rFonts w:asciiTheme="minorHAnsi" w:hAnsiTheme="minorHAnsi"/>
                <w:sz w:val="16"/>
                <w:lang w:val="fi-FI"/>
              </w:rPr>
            </w:pPr>
            <w:r w:rsidRPr="00E46B41">
              <w:rPr>
                <w:rFonts w:asciiTheme="minorHAnsi" w:hAnsiTheme="minorHAnsi"/>
                <w:sz w:val="18"/>
                <w:lang w:val="fi-FI"/>
              </w:rPr>
              <w:t>Yhteyshenkilö</w:t>
            </w:r>
          </w:p>
          <w:p w14:paraId="432DF049" w14:textId="63121450" w:rsidR="00D577E9" w:rsidRPr="00E46B41" w:rsidRDefault="00C14A1C" w:rsidP="007E4C69">
            <w:pPr>
              <w:rPr>
                <w:rFonts w:asciiTheme="minorHAnsi" w:hAnsiTheme="minorHAnsi"/>
                <w:lang w:val="fi-FI"/>
              </w:rPr>
            </w:pPr>
            <w:r>
              <w:t>Tuomo Suvanto</w:t>
            </w:r>
          </w:p>
        </w:tc>
        <w:tc>
          <w:tcPr>
            <w:tcW w:w="1417" w:type="dxa"/>
          </w:tcPr>
          <w:p w14:paraId="5468066C" w14:textId="77777777" w:rsidR="00D577E9" w:rsidRPr="00E46B41" w:rsidRDefault="00D577E9" w:rsidP="007E4C69">
            <w:pPr>
              <w:rPr>
                <w:rFonts w:asciiTheme="minorHAnsi" w:hAnsiTheme="minorHAnsi"/>
                <w:sz w:val="18"/>
                <w:lang w:val="fi-FI"/>
              </w:rPr>
            </w:pPr>
            <w:r w:rsidRPr="00E46B41">
              <w:rPr>
                <w:rFonts w:asciiTheme="minorHAnsi" w:hAnsiTheme="minorHAnsi"/>
                <w:sz w:val="18"/>
                <w:lang w:val="fi-FI"/>
              </w:rPr>
              <w:t>Raportin kieli</w:t>
            </w:r>
          </w:p>
          <w:p w14:paraId="35CB3846" w14:textId="5BB09F5A" w:rsidR="00D577E9" w:rsidRPr="00E46B41" w:rsidRDefault="004C2A6C" w:rsidP="007E4C69">
            <w:pPr>
              <w:rPr>
                <w:rFonts w:asciiTheme="minorHAnsi" w:hAnsiTheme="minorHAnsi"/>
                <w:sz w:val="16"/>
                <w:lang w:val="fi-FI"/>
              </w:rPr>
            </w:pPr>
            <w:r>
              <w:t>Suomi</w:t>
            </w:r>
          </w:p>
        </w:tc>
        <w:tc>
          <w:tcPr>
            <w:tcW w:w="1843" w:type="dxa"/>
            <w:gridSpan w:val="2"/>
          </w:tcPr>
          <w:p w14:paraId="503AA381" w14:textId="77777777" w:rsidR="00D577E9" w:rsidRPr="00E46B41" w:rsidRDefault="00D577E9" w:rsidP="007E4C69">
            <w:pPr>
              <w:rPr>
                <w:rFonts w:asciiTheme="minorHAnsi" w:hAnsiTheme="minorHAnsi"/>
                <w:sz w:val="16"/>
                <w:lang w:val="fi-FI"/>
              </w:rPr>
            </w:pPr>
            <w:r w:rsidRPr="00E46B41">
              <w:rPr>
                <w:rFonts w:asciiTheme="minorHAnsi" w:hAnsiTheme="minorHAnsi"/>
                <w:sz w:val="18"/>
                <w:lang w:val="fi-FI"/>
              </w:rPr>
              <w:t>Luottamuksellisuus</w:t>
            </w:r>
          </w:p>
          <w:p w14:paraId="749F700A" w14:textId="56D05D7C" w:rsidR="00D577E9" w:rsidRPr="00E46B41" w:rsidRDefault="004C2A6C" w:rsidP="007E4C69">
            <w:pPr>
              <w:rPr>
                <w:rFonts w:asciiTheme="minorHAnsi" w:hAnsiTheme="minorHAnsi"/>
                <w:sz w:val="16"/>
                <w:lang w:val="fi-FI"/>
              </w:rPr>
            </w:pPr>
            <w:r>
              <w:t>Julkinen</w:t>
            </w:r>
          </w:p>
        </w:tc>
        <w:tc>
          <w:tcPr>
            <w:tcW w:w="1842" w:type="dxa"/>
          </w:tcPr>
          <w:p w14:paraId="239A2A38" w14:textId="77777777" w:rsidR="00D577E9" w:rsidRPr="00E46B41" w:rsidRDefault="00D577E9" w:rsidP="007E4C69">
            <w:pPr>
              <w:rPr>
                <w:rFonts w:asciiTheme="minorHAnsi" w:hAnsiTheme="minorHAnsi"/>
                <w:sz w:val="16"/>
                <w:lang w:val="fi-FI"/>
              </w:rPr>
            </w:pPr>
            <w:r w:rsidRPr="00E46B41">
              <w:rPr>
                <w:rFonts w:asciiTheme="minorHAnsi" w:hAnsiTheme="minorHAnsi"/>
                <w:sz w:val="18"/>
                <w:lang w:val="fi-FI"/>
              </w:rPr>
              <w:t>Kokonaissivumäärä</w:t>
            </w:r>
          </w:p>
          <w:p w14:paraId="6C52601C" w14:textId="4181E876" w:rsidR="00D577E9" w:rsidRPr="00E46B41" w:rsidRDefault="00C14A1C" w:rsidP="007E4C69">
            <w:pPr>
              <w:rPr>
                <w:rFonts w:asciiTheme="minorHAnsi" w:hAnsiTheme="minorHAnsi"/>
                <w:lang w:val="fi-FI"/>
              </w:rPr>
            </w:pPr>
            <w:r>
              <w:t>4</w:t>
            </w:r>
            <w:r w:rsidR="00F214CB">
              <w:t>0</w:t>
            </w:r>
            <w:r>
              <w:t>+2</w:t>
            </w:r>
          </w:p>
        </w:tc>
      </w:tr>
      <w:tr w:rsidR="00D577E9" w:rsidRPr="00E46B41" w14:paraId="778FFD3E" w14:textId="77777777" w:rsidTr="0099001E">
        <w:trPr>
          <w:trHeight w:val="657"/>
        </w:trPr>
        <w:tc>
          <w:tcPr>
            <w:tcW w:w="4720" w:type="dxa"/>
          </w:tcPr>
          <w:p w14:paraId="7B95DBB8" w14:textId="77777777" w:rsidR="00D577E9" w:rsidRPr="00E46B41" w:rsidRDefault="00D577E9" w:rsidP="007E4C69">
            <w:pPr>
              <w:rPr>
                <w:rFonts w:asciiTheme="minorHAnsi" w:hAnsiTheme="minorHAnsi"/>
                <w:sz w:val="16"/>
                <w:lang w:val="fi-FI"/>
              </w:rPr>
            </w:pPr>
            <w:r w:rsidRPr="00E46B41">
              <w:rPr>
                <w:rFonts w:asciiTheme="minorHAnsi" w:hAnsiTheme="minorHAnsi"/>
                <w:sz w:val="18"/>
                <w:lang w:val="fi-FI"/>
              </w:rPr>
              <w:t>Jakaja</w:t>
            </w:r>
          </w:p>
          <w:p w14:paraId="3F1B1D7A" w14:textId="08BDA7F9" w:rsidR="00D577E9" w:rsidRPr="00E46B41" w:rsidRDefault="0099001E" w:rsidP="007E4C69">
            <w:pPr>
              <w:rPr>
                <w:rFonts w:asciiTheme="minorHAnsi" w:hAnsiTheme="minorHAnsi"/>
                <w:sz w:val="16"/>
                <w:lang w:val="fi-FI"/>
              </w:rPr>
            </w:pPr>
            <w:r w:rsidRPr="0099001E">
              <w:rPr>
                <w:lang w:val="fi-FI"/>
              </w:rPr>
              <w:t>Liikenne- ja viestintävirasto Traficom</w:t>
            </w:r>
          </w:p>
        </w:tc>
        <w:tc>
          <w:tcPr>
            <w:tcW w:w="5102" w:type="dxa"/>
            <w:gridSpan w:val="4"/>
          </w:tcPr>
          <w:p w14:paraId="0E46A013" w14:textId="77777777" w:rsidR="00D577E9" w:rsidRPr="00E46B41" w:rsidRDefault="00D577E9" w:rsidP="007E4C69">
            <w:pPr>
              <w:rPr>
                <w:rFonts w:asciiTheme="minorHAnsi" w:hAnsiTheme="minorHAnsi"/>
                <w:sz w:val="16"/>
                <w:lang w:val="fi-FI"/>
              </w:rPr>
            </w:pPr>
            <w:r w:rsidRPr="00E46B41">
              <w:rPr>
                <w:rFonts w:asciiTheme="minorHAnsi" w:hAnsiTheme="minorHAnsi"/>
                <w:sz w:val="18"/>
                <w:lang w:val="fi-FI"/>
              </w:rPr>
              <w:t>Kustantaja</w:t>
            </w:r>
          </w:p>
          <w:p w14:paraId="4677A8B5" w14:textId="55751151" w:rsidR="00D577E9" w:rsidRPr="00E46B41" w:rsidRDefault="0099001E" w:rsidP="007E4C69">
            <w:pPr>
              <w:rPr>
                <w:rFonts w:asciiTheme="minorHAnsi" w:hAnsiTheme="minorHAnsi"/>
                <w:sz w:val="16"/>
                <w:lang w:val="fi-FI"/>
              </w:rPr>
            </w:pPr>
            <w:r w:rsidRPr="0099001E">
              <w:rPr>
                <w:lang w:val="fi-FI"/>
              </w:rPr>
              <w:t>Liikenne- ja viestintävirasto Traficom</w:t>
            </w:r>
          </w:p>
        </w:tc>
      </w:tr>
    </w:tbl>
    <w:p w14:paraId="69F33D64" w14:textId="6F5DA7C5" w:rsidR="00D577E9" w:rsidRDefault="00D577E9" w:rsidP="00D577E9"/>
    <w:p w14:paraId="76FA3303" w14:textId="77777777" w:rsidR="0099001E" w:rsidRPr="00F369C7" w:rsidRDefault="0099001E" w:rsidP="00D577E9"/>
    <w:tbl>
      <w:tblPr>
        <w:tblStyle w:val="TableNormal1"/>
        <w:tblW w:w="9822" w:type="dxa"/>
        <w:tblInd w:w="100" w:type="dxa"/>
        <w:tblBorders>
          <w:top w:val="single" w:sz="4" w:space="0" w:color="818181"/>
          <w:left w:val="single" w:sz="4" w:space="0" w:color="818181"/>
          <w:bottom w:val="single" w:sz="4" w:space="0" w:color="818181"/>
          <w:right w:val="single" w:sz="4" w:space="0" w:color="818181"/>
          <w:insideH w:val="single" w:sz="4" w:space="0" w:color="818181"/>
          <w:insideV w:val="single" w:sz="4" w:space="0" w:color="818181"/>
        </w:tblBorders>
        <w:tblLayout w:type="fixed"/>
        <w:tblCellMar>
          <w:left w:w="57" w:type="dxa"/>
          <w:right w:w="28" w:type="dxa"/>
        </w:tblCellMar>
        <w:tblLook w:val="01E0" w:firstRow="1" w:lastRow="1" w:firstColumn="1" w:lastColumn="1" w:noHBand="0" w:noVBand="0"/>
      </w:tblPr>
      <w:tblGrid>
        <w:gridCol w:w="4720"/>
        <w:gridCol w:w="1417"/>
        <w:gridCol w:w="1271"/>
        <w:gridCol w:w="572"/>
        <w:gridCol w:w="1842"/>
      </w:tblGrid>
      <w:tr w:rsidR="00BE5EC4" w:rsidRPr="00E60C29" w14:paraId="14FDE627" w14:textId="77777777" w:rsidTr="007E4C69">
        <w:trPr>
          <w:trHeight w:val="397"/>
        </w:trPr>
        <w:tc>
          <w:tcPr>
            <w:tcW w:w="7408" w:type="dxa"/>
            <w:gridSpan w:val="3"/>
            <w:vMerge w:val="restart"/>
            <w:tcBorders>
              <w:top w:val="nil"/>
              <w:left w:val="nil"/>
              <w:right w:val="nil"/>
            </w:tcBorders>
          </w:tcPr>
          <w:p w14:paraId="5E39D7CF" w14:textId="0D5C1D15" w:rsidR="00BE5EC4" w:rsidRPr="00E60C29" w:rsidRDefault="00D577E9" w:rsidP="007E4C69">
            <w:pPr>
              <w:rPr>
                <w:rFonts w:asciiTheme="minorHAnsi" w:hAnsiTheme="minorHAnsi"/>
                <w:sz w:val="16"/>
                <w:lang w:val="sv-SE"/>
              </w:rPr>
            </w:pPr>
            <w:r w:rsidRPr="0099001E">
              <w:rPr>
                <w:lang w:val="fi-FI"/>
              </w:rPr>
              <w:lastRenderedPageBreak/>
              <w:br w:type="page"/>
            </w:r>
            <w:r w:rsidR="0059230D">
              <w:rPr>
                <w:noProof/>
                <w:lang w:eastAsia="fi-FI"/>
              </w:rPr>
              <w:drawing>
                <wp:inline distT="0" distB="0" distL="0" distR="0" wp14:anchorId="3AFF5E04" wp14:editId="71C6A1FB">
                  <wp:extent cx="1742400" cy="375331"/>
                  <wp:effectExtent l="0" t="0" r="0" b="5715"/>
                  <wp:docPr id="7" name="Kuva 7" descr="Trafico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42400" cy="375331"/>
                          </a:xfrm>
                          <a:prstGeom prst="rect">
                            <a:avLst/>
                          </a:prstGeom>
                          <a:noFill/>
                          <a:ln>
                            <a:noFill/>
                          </a:ln>
                        </pic:spPr>
                      </pic:pic>
                    </a:graphicData>
                  </a:graphic>
                </wp:inline>
              </w:drawing>
            </w:r>
          </w:p>
        </w:tc>
        <w:tc>
          <w:tcPr>
            <w:tcW w:w="2414" w:type="dxa"/>
            <w:gridSpan w:val="2"/>
            <w:tcBorders>
              <w:top w:val="nil"/>
              <w:left w:val="nil"/>
              <w:bottom w:val="nil"/>
              <w:right w:val="nil"/>
            </w:tcBorders>
            <w:vAlign w:val="bottom"/>
          </w:tcPr>
          <w:p w14:paraId="6C18F863" w14:textId="77777777" w:rsidR="00BE5EC4" w:rsidRPr="00E60C29" w:rsidRDefault="00BE5EC4" w:rsidP="007E4C69">
            <w:pPr>
              <w:rPr>
                <w:rFonts w:asciiTheme="minorHAnsi" w:hAnsiTheme="minorHAnsi"/>
                <w:lang w:val="sv-SE"/>
              </w:rPr>
            </w:pPr>
            <w:r w:rsidRPr="00E60C29">
              <w:rPr>
                <w:rFonts w:asciiTheme="minorHAnsi" w:hAnsiTheme="minorHAnsi"/>
                <w:sz w:val="18"/>
                <w:lang w:val="sv-SE"/>
              </w:rPr>
              <w:t>Utgivningsdatum</w:t>
            </w:r>
          </w:p>
        </w:tc>
      </w:tr>
      <w:tr w:rsidR="00BE5EC4" w:rsidRPr="00E60C29" w14:paraId="11BFF4E6" w14:textId="77777777" w:rsidTr="007E4C69">
        <w:trPr>
          <w:trHeight w:val="270"/>
        </w:trPr>
        <w:tc>
          <w:tcPr>
            <w:tcW w:w="7408" w:type="dxa"/>
            <w:gridSpan w:val="3"/>
            <w:vMerge/>
            <w:tcBorders>
              <w:left w:val="nil"/>
              <w:bottom w:val="single" w:sz="4" w:space="0" w:color="818181"/>
              <w:right w:val="nil"/>
            </w:tcBorders>
          </w:tcPr>
          <w:p w14:paraId="6B732721" w14:textId="77777777" w:rsidR="00BE5EC4" w:rsidRPr="00E60C29" w:rsidRDefault="00BE5EC4" w:rsidP="007E4C69">
            <w:pPr>
              <w:rPr>
                <w:rFonts w:asciiTheme="minorHAnsi" w:hAnsiTheme="minorHAnsi"/>
                <w:sz w:val="16"/>
                <w:lang w:val="sv-SE"/>
              </w:rPr>
            </w:pPr>
          </w:p>
        </w:tc>
        <w:tc>
          <w:tcPr>
            <w:tcW w:w="2414" w:type="dxa"/>
            <w:gridSpan w:val="2"/>
            <w:tcBorders>
              <w:top w:val="nil"/>
              <w:left w:val="nil"/>
              <w:bottom w:val="nil"/>
              <w:right w:val="nil"/>
            </w:tcBorders>
          </w:tcPr>
          <w:p w14:paraId="3BB10956" w14:textId="4F4539A9" w:rsidR="00BE5EC4" w:rsidRPr="00E60C29" w:rsidRDefault="00F5184F" w:rsidP="007E4C69">
            <w:pPr>
              <w:rPr>
                <w:rFonts w:asciiTheme="minorHAnsi" w:hAnsiTheme="minorHAnsi"/>
                <w:sz w:val="16"/>
                <w:lang w:val="sv-SE"/>
              </w:rPr>
            </w:pPr>
            <w:r>
              <w:rPr>
                <w:lang w:val="sv-SE"/>
              </w:rPr>
              <w:t>5.8.2021</w:t>
            </w:r>
          </w:p>
        </w:tc>
      </w:tr>
      <w:tr w:rsidR="00652133" w:rsidRPr="0040610B" w14:paraId="1F658A53" w14:textId="77777777" w:rsidTr="007E4C69">
        <w:trPr>
          <w:trHeight w:val="567"/>
        </w:trPr>
        <w:tc>
          <w:tcPr>
            <w:tcW w:w="9822" w:type="dxa"/>
            <w:gridSpan w:val="5"/>
            <w:tcBorders>
              <w:top w:val="single" w:sz="4" w:space="0" w:color="818181"/>
              <w:bottom w:val="single" w:sz="4" w:space="0" w:color="818181"/>
            </w:tcBorders>
          </w:tcPr>
          <w:p w14:paraId="63A029A9" w14:textId="77777777" w:rsidR="00652133" w:rsidRPr="00F5184F" w:rsidRDefault="00652133" w:rsidP="00652133">
            <w:pPr>
              <w:pStyle w:val="Taulukkoteksti"/>
              <w:rPr>
                <w:rFonts w:asciiTheme="minorHAnsi" w:hAnsiTheme="minorHAnsi"/>
                <w:lang w:val="sv-SE"/>
              </w:rPr>
            </w:pPr>
            <w:r w:rsidRPr="00F5184F">
              <w:rPr>
                <w:rFonts w:asciiTheme="minorHAnsi" w:hAnsiTheme="minorHAnsi"/>
                <w:lang w:val="sv-SE"/>
              </w:rPr>
              <w:t>Publikation</w:t>
            </w:r>
          </w:p>
          <w:p w14:paraId="2D61E39B" w14:textId="1824B304" w:rsidR="00652133" w:rsidRPr="00F5184F" w:rsidRDefault="00652133" w:rsidP="00652133">
            <w:pPr>
              <w:pStyle w:val="Taulukkoteksti"/>
              <w:rPr>
                <w:rFonts w:asciiTheme="minorHAnsi" w:hAnsiTheme="minorHAnsi"/>
                <w:lang w:val="sv-SE"/>
              </w:rPr>
            </w:pPr>
            <w:r w:rsidRPr="00F5184F">
              <w:rPr>
                <w:rFonts w:ascii="Calibri" w:hAnsi="Calibri" w:cs="Calibri"/>
                <w:sz w:val="20"/>
                <w:szCs w:val="20"/>
                <w:lang w:val="sv-FI"/>
              </w:rPr>
              <w:t xml:space="preserve">Utredning om mätare för effektiv </w:t>
            </w:r>
            <w:r w:rsidR="00CD41CD" w:rsidRPr="00F5184F">
              <w:rPr>
                <w:rFonts w:ascii="Calibri" w:hAnsi="Calibri" w:cs="Calibri"/>
                <w:sz w:val="20"/>
                <w:szCs w:val="20"/>
                <w:lang w:val="sv-FI"/>
              </w:rPr>
              <w:t>densitet</w:t>
            </w:r>
          </w:p>
        </w:tc>
      </w:tr>
      <w:tr w:rsidR="00652133" w:rsidRPr="00E60C29" w14:paraId="1BE9311D" w14:textId="77777777" w:rsidTr="004C2A6C">
        <w:trPr>
          <w:trHeight w:val="568"/>
        </w:trPr>
        <w:tc>
          <w:tcPr>
            <w:tcW w:w="9822" w:type="dxa"/>
            <w:gridSpan w:val="5"/>
            <w:tcBorders>
              <w:top w:val="single" w:sz="4" w:space="0" w:color="818181"/>
            </w:tcBorders>
          </w:tcPr>
          <w:p w14:paraId="14E30707" w14:textId="77777777" w:rsidR="00652133" w:rsidRPr="00F5184F" w:rsidRDefault="00652133" w:rsidP="00652133">
            <w:pPr>
              <w:pStyle w:val="Taulukkoteksti"/>
              <w:rPr>
                <w:rFonts w:asciiTheme="minorHAnsi" w:hAnsiTheme="minorHAnsi"/>
                <w:szCs w:val="16"/>
                <w:lang w:val="fi-FI"/>
              </w:rPr>
            </w:pPr>
            <w:r w:rsidRPr="00F5184F">
              <w:rPr>
                <w:rFonts w:asciiTheme="minorHAnsi" w:hAnsiTheme="minorHAnsi"/>
                <w:szCs w:val="16"/>
                <w:lang w:val="fi-FI"/>
              </w:rPr>
              <w:t>Författare</w:t>
            </w:r>
          </w:p>
          <w:p w14:paraId="469D4EEA" w14:textId="6491415A" w:rsidR="00652133" w:rsidRPr="00627B14" w:rsidRDefault="00652133" w:rsidP="00652133">
            <w:pPr>
              <w:pStyle w:val="Taulukkoteksti"/>
              <w:rPr>
                <w:rFonts w:asciiTheme="minorHAnsi" w:hAnsiTheme="minorHAnsi"/>
                <w:lang w:val="fi-FI"/>
              </w:rPr>
            </w:pPr>
            <w:r w:rsidRPr="00F5184F">
              <w:rPr>
                <w:rFonts w:ascii="Calibri" w:hAnsi="Calibri" w:cs="Calibri"/>
                <w:sz w:val="20"/>
                <w:szCs w:val="20"/>
                <w:lang w:val="fi-FI"/>
              </w:rPr>
              <w:t>Petri Blomqvist, Antti Kauhanen, Heikki Metsäranta, Krista Riukula</w:t>
            </w:r>
          </w:p>
        </w:tc>
      </w:tr>
      <w:tr w:rsidR="00652133" w:rsidRPr="0040610B" w14:paraId="06A63D43" w14:textId="77777777" w:rsidTr="007E4C69">
        <w:trPr>
          <w:trHeight w:val="567"/>
        </w:trPr>
        <w:tc>
          <w:tcPr>
            <w:tcW w:w="9822" w:type="dxa"/>
            <w:gridSpan w:val="5"/>
          </w:tcPr>
          <w:p w14:paraId="108AC8E8" w14:textId="77777777" w:rsidR="00652133" w:rsidRPr="00F5184F" w:rsidRDefault="00652133" w:rsidP="00652133">
            <w:pPr>
              <w:pStyle w:val="Taulukkoteksti"/>
              <w:rPr>
                <w:rFonts w:asciiTheme="minorHAnsi" w:hAnsiTheme="minorHAnsi"/>
                <w:szCs w:val="16"/>
                <w:lang w:val="sv-SE"/>
              </w:rPr>
            </w:pPr>
            <w:r w:rsidRPr="00F5184F">
              <w:rPr>
                <w:rFonts w:asciiTheme="minorHAnsi" w:hAnsiTheme="minorHAnsi"/>
                <w:szCs w:val="16"/>
                <w:lang w:val="sv-SE"/>
              </w:rPr>
              <w:t>Tillsatt av och datum</w:t>
            </w:r>
          </w:p>
          <w:p w14:paraId="1DFCCF37" w14:textId="140FF6A9" w:rsidR="00652133" w:rsidRPr="00F5184F" w:rsidRDefault="00652133" w:rsidP="00652133">
            <w:pPr>
              <w:pStyle w:val="Taulukkoteksti"/>
              <w:rPr>
                <w:rFonts w:asciiTheme="minorHAnsi" w:hAnsiTheme="minorHAnsi"/>
                <w:lang w:val="sv-SE"/>
              </w:rPr>
            </w:pPr>
            <w:r w:rsidRPr="00F5184F">
              <w:rPr>
                <w:rFonts w:ascii="Calibri" w:hAnsi="Calibri" w:cs="Calibri"/>
                <w:sz w:val="20"/>
                <w:szCs w:val="20"/>
                <w:lang w:val="sv-FI"/>
              </w:rPr>
              <w:t>Transport- och kommunikationsverket</w:t>
            </w:r>
            <w:r w:rsidR="00F5184F">
              <w:rPr>
                <w:rFonts w:ascii="Calibri" w:hAnsi="Calibri" w:cs="Calibri"/>
                <w:sz w:val="20"/>
                <w:szCs w:val="20"/>
                <w:lang w:val="sv-FI"/>
              </w:rPr>
              <w:t xml:space="preserve"> 12.1.2021</w:t>
            </w:r>
          </w:p>
        </w:tc>
      </w:tr>
      <w:tr w:rsidR="00652133" w:rsidRPr="00652133" w14:paraId="20491ACD" w14:textId="77777777" w:rsidTr="007E4C69">
        <w:trPr>
          <w:trHeight w:val="804"/>
        </w:trPr>
        <w:tc>
          <w:tcPr>
            <w:tcW w:w="4720" w:type="dxa"/>
          </w:tcPr>
          <w:p w14:paraId="71D45DB3" w14:textId="77777777" w:rsidR="00652133" w:rsidRPr="00F5184F" w:rsidRDefault="00652133" w:rsidP="00652133">
            <w:pPr>
              <w:rPr>
                <w:rFonts w:asciiTheme="minorHAnsi" w:hAnsiTheme="minorHAnsi"/>
                <w:sz w:val="16"/>
                <w:szCs w:val="16"/>
                <w:lang w:val="sv-SE"/>
              </w:rPr>
            </w:pPr>
            <w:r w:rsidRPr="00F5184F">
              <w:rPr>
                <w:rFonts w:asciiTheme="minorHAnsi" w:hAnsiTheme="minorHAnsi"/>
                <w:sz w:val="16"/>
                <w:szCs w:val="16"/>
                <w:lang w:val="sv-SE"/>
              </w:rPr>
              <w:t>Publikationsseriens namn och nummer</w:t>
            </w:r>
          </w:p>
          <w:p w14:paraId="4887778C" w14:textId="2952E6C3" w:rsidR="00652133" w:rsidRPr="00F5184F" w:rsidRDefault="00652133" w:rsidP="00652133">
            <w:pPr>
              <w:rPr>
                <w:rFonts w:asciiTheme="minorHAnsi" w:hAnsiTheme="minorHAnsi"/>
                <w:sz w:val="16"/>
                <w:szCs w:val="16"/>
                <w:lang w:val="sv-SE"/>
              </w:rPr>
            </w:pPr>
            <w:r w:rsidRPr="00F5184F">
              <w:rPr>
                <w:rFonts w:asciiTheme="minorHAnsi" w:hAnsiTheme="minorHAnsi"/>
                <w:b/>
                <w:lang w:val="sv-SE"/>
              </w:rPr>
              <w:t xml:space="preserve">Traficoms forskningsrapporter och </w:t>
            </w:r>
            <w:r w:rsidRPr="00F5184F">
              <w:rPr>
                <w:rFonts w:asciiTheme="minorHAnsi" w:hAnsiTheme="minorHAnsi"/>
                <w:b/>
                <w:lang w:val="sv-SE"/>
              </w:rPr>
              <w:br/>
              <w:t xml:space="preserve">utredningar </w:t>
            </w:r>
            <w:sdt>
              <w:sdtPr>
                <w:rPr>
                  <w:b/>
                  <w:lang w:val="sv-SE"/>
                </w:rPr>
                <w:alias w:val="Avainsanat"/>
                <w:tag w:val=""/>
                <w:id w:val="-1407292132"/>
                <w:placeholder>
                  <w:docPart w:val="1469C73E117A445BB51429689FB432E7"/>
                </w:placeholder>
                <w:dataBinding w:prefixMappings="xmlns:ns0='http://purl.org/dc/elements/1.1/' xmlns:ns1='http://schemas.openxmlformats.org/package/2006/metadata/core-properties' " w:xpath="/ns1:coreProperties[1]/ns1:keywords[1]" w:storeItemID="{6C3C8BC8-F283-45AE-878A-BAB7291924A1}"/>
                <w:text/>
              </w:sdtPr>
              <w:sdtEndPr/>
              <w:sdtContent>
                <w:r w:rsidRPr="00F5184F">
                  <w:rPr>
                    <w:b/>
                    <w:lang w:val="sv-SE"/>
                  </w:rPr>
                  <w:t>8/2021</w:t>
                </w:r>
              </w:sdtContent>
            </w:sdt>
          </w:p>
        </w:tc>
        <w:tc>
          <w:tcPr>
            <w:tcW w:w="5102" w:type="dxa"/>
            <w:gridSpan w:val="4"/>
          </w:tcPr>
          <w:p w14:paraId="5B5F8431" w14:textId="77777777" w:rsidR="004C2A6C" w:rsidRPr="00627B14" w:rsidRDefault="004C2A6C" w:rsidP="004C2A6C">
            <w:pPr>
              <w:rPr>
                <w:rFonts w:asciiTheme="minorHAnsi" w:hAnsiTheme="minorHAnsi"/>
                <w:sz w:val="18"/>
                <w:szCs w:val="18"/>
                <w:lang w:val="sv-FI"/>
              </w:rPr>
            </w:pPr>
          </w:p>
          <w:p w14:paraId="7C29E9FD" w14:textId="289AF2C0" w:rsidR="004C2A6C" w:rsidRPr="00F5184F" w:rsidRDefault="004C2A6C" w:rsidP="004C2A6C">
            <w:pPr>
              <w:rPr>
                <w:rFonts w:asciiTheme="minorHAnsi" w:hAnsiTheme="minorHAnsi"/>
                <w:sz w:val="18"/>
                <w:szCs w:val="18"/>
                <w:lang w:val="fi-FI"/>
              </w:rPr>
            </w:pPr>
            <w:r w:rsidRPr="00F5184F">
              <w:rPr>
                <w:rFonts w:asciiTheme="minorHAnsi" w:hAnsiTheme="minorHAnsi"/>
                <w:sz w:val="18"/>
                <w:szCs w:val="18"/>
                <w:lang w:val="fi-FI"/>
              </w:rPr>
              <w:t>ISBN 978-952-311-770-9</w:t>
            </w:r>
          </w:p>
          <w:p w14:paraId="20B0235B" w14:textId="2F0234F7" w:rsidR="00652133" w:rsidRPr="00F5184F" w:rsidRDefault="004C2A6C" w:rsidP="004C2A6C">
            <w:pPr>
              <w:rPr>
                <w:rFonts w:asciiTheme="minorHAnsi" w:hAnsiTheme="minorHAnsi"/>
                <w:sz w:val="18"/>
                <w:lang w:val="sv-SE"/>
              </w:rPr>
            </w:pPr>
            <w:r w:rsidRPr="00F5184F">
              <w:rPr>
                <w:rFonts w:asciiTheme="minorHAnsi" w:hAnsiTheme="minorHAnsi"/>
                <w:sz w:val="18"/>
                <w:szCs w:val="18"/>
                <w:lang w:val="fi-FI"/>
              </w:rPr>
              <w:t>ISSN 2669-8781 (webbpublikation)</w:t>
            </w:r>
          </w:p>
        </w:tc>
      </w:tr>
      <w:tr w:rsidR="00652133" w:rsidRPr="0040610B" w14:paraId="65DBFB2A" w14:textId="77777777" w:rsidTr="00652133">
        <w:tc>
          <w:tcPr>
            <w:tcW w:w="9822" w:type="dxa"/>
            <w:gridSpan w:val="5"/>
          </w:tcPr>
          <w:p w14:paraId="0B547310" w14:textId="77777777" w:rsidR="00652133" w:rsidRPr="00F5184F" w:rsidRDefault="00652133" w:rsidP="00652133">
            <w:pPr>
              <w:pStyle w:val="Taulukkoteksti"/>
              <w:rPr>
                <w:rFonts w:asciiTheme="minorHAnsi" w:hAnsiTheme="minorHAnsi"/>
                <w:lang w:val="sv-SE"/>
              </w:rPr>
            </w:pPr>
            <w:r w:rsidRPr="00F5184F">
              <w:rPr>
                <w:rFonts w:asciiTheme="minorHAnsi" w:hAnsiTheme="minorHAnsi"/>
                <w:lang w:val="sv-SE"/>
              </w:rPr>
              <w:t>Ämnesord</w:t>
            </w:r>
          </w:p>
          <w:p w14:paraId="23148917" w14:textId="7744004A" w:rsidR="00652133" w:rsidRPr="00F5184F" w:rsidRDefault="00652133" w:rsidP="00652133">
            <w:pPr>
              <w:pStyle w:val="Taulukkoteksti"/>
              <w:spacing w:after="120"/>
              <w:rPr>
                <w:rFonts w:ascii="Calibri" w:hAnsi="Calibri" w:cs="Calibri"/>
                <w:lang w:val="sv-SE"/>
              </w:rPr>
            </w:pPr>
            <w:r w:rsidRPr="00F5184F">
              <w:rPr>
                <w:rFonts w:ascii="Calibri" w:hAnsi="Calibri" w:cs="Calibri"/>
                <w:sz w:val="20"/>
                <w:szCs w:val="24"/>
                <w:lang w:val="sv-FI"/>
              </w:rPr>
              <w:t xml:space="preserve">Effektiv </w:t>
            </w:r>
            <w:r w:rsidR="00CD41CD" w:rsidRPr="00F5184F">
              <w:rPr>
                <w:rFonts w:ascii="Calibri" w:hAnsi="Calibri" w:cs="Calibri"/>
                <w:sz w:val="20"/>
                <w:szCs w:val="24"/>
                <w:lang w:val="sv-FI"/>
              </w:rPr>
              <w:t>densitet</w:t>
            </w:r>
            <w:r w:rsidRPr="00F5184F">
              <w:rPr>
                <w:rFonts w:ascii="Calibri" w:hAnsi="Calibri" w:cs="Calibri"/>
                <w:sz w:val="20"/>
                <w:szCs w:val="24"/>
                <w:lang w:val="sv-FI"/>
              </w:rPr>
              <w:t>, agglomeration, transportsystem, trafikprojekt, ekonomiska konsekvenser</w:t>
            </w:r>
          </w:p>
        </w:tc>
      </w:tr>
      <w:tr w:rsidR="00652133" w:rsidRPr="0040610B" w14:paraId="7B7A85F6" w14:textId="77777777" w:rsidTr="00C14A1C">
        <w:trPr>
          <w:trHeight w:val="9081"/>
        </w:trPr>
        <w:tc>
          <w:tcPr>
            <w:tcW w:w="9822" w:type="dxa"/>
            <w:gridSpan w:val="5"/>
          </w:tcPr>
          <w:p w14:paraId="4927D949" w14:textId="77777777" w:rsidR="00652133" w:rsidRPr="00F5184F" w:rsidRDefault="00652133" w:rsidP="00652133">
            <w:pPr>
              <w:pStyle w:val="Taulukkoteksti"/>
              <w:rPr>
                <w:rFonts w:asciiTheme="minorHAnsi" w:hAnsiTheme="minorHAnsi"/>
                <w:lang w:val="sv-SE"/>
              </w:rPr>
            </w:pPr>
            <w:r w:rsidRPr="00F5184F">
              <w:rPr>
                <w:rFonts w:asciiTheme="minorHAnsi" w:hAnsiTheme="minorHAnsi"/>
                <w:lang w:val="sv-FI"/>
              </w:rPr>
              <w:t>Sammandrag</w:t>
            </w:r>
          </w:p>
          <w:p w14:paraId="18C79DA3" w14:textId="5448B436" w:rsidR="00652133" w:rsidRPr="00F5184F" w:rsidRDefault="00652133" w:rsidP="00C14A1C">
            <w:pPr>
              <w:pStyle w:val="BodyText"/>
              <w:spacing w:before="120"/>
              <w:ind w:left="45"/>
              <w:rPr>
                <w:lang w:val="sv-SE"/>
              </w:rPr>
            </w:pPr>
            <w:r w:rsidRPr="00F5184F">
              <w:rPr>
                <w:lang w:val="sv-FI"/>
              </w:rPr>
              <w:t xml:space="preserve">I det här arbetet har man fastställt en mätare för effektiv </w:t>
            </w:r>
            <w:r w:rsidR="00CD41CD" w:rsidRPr="00F5184F">
              <w:rPr>
                <w:lang w:val="sv-FI"/>
              </w:rPr>
              <w:t>densitet</w:t>
            </w:r>
            <w:r w:rsidRPr="00F5184F">
              <w:rPr>
                <w:lang w:val="sv-FI"/>
              </w:rPr>
              <w:t xml:space="preserve"> som är lämplig i Finland. Definitionen av mätaren är ett steg i utvecklingen av bedömningen av </w:t>
            </w:r>
            <w:r w:rsidR="0026473E" w:rsidRPr="00F5184F">
              <w:rPr>
                <w:lang w:val="sv-FI"/>
              </w:rPr>
              <w:t>agglomerationseffekter</w:t>
            </w:r>
            <w:r w:rsidRPr="00F5184F">
              <w:rPr>
                <w:lang w:val="sv-FI"/>
              </w:rPr>
              <w:t xml:space="preserve"> och en del av forsknings- och utvecklingshelheten </w:t>
            </w:r>
            <w:r w:rsidR="0026473E" w:rsidRPr="00F5184F">
              <w:rPr>
                <w:lang w:val="sv-FI"/>
              </w:rPr>
              <w:t xml:space="preserve">av de bredare ekonomiska effekter </w:t>
            </w:r>
            <w:r w:rsidRPr="00F5184F">
              <w:rPr>
                <w:lang w:val="sv-FI"/>
              </w:rPr>
              <w:t>för en mer omfattande konsekvensbedömning av trafiksystemet. I arbetet ingår en översikt över forskningslitteraturen i temat, definitionen av mätaren för effektiv täthet, en uppskattning av parametrarna för trafikforskningsmaterialet samt tester av mätaren. En preliminär plan presenteras för forsknings- och utvecklingsarbetets nästa steg, dvs. uppskattningen av produktivitets</w:t>
            </w:r>
            <w:r w:rsidR="0026473E" w:rsidRPr="00F5184F">
              <w:rPr>
                <w:lang w:val="sv-FI"/>
              </w:rPr>
              <w:t>elasticiteter</w:t>
            </w:r>
            <w:r w:rsidRPr="00F5184F">
              <w:rPr>
                <w:lang w:val="sv-FI"/>
              </w:rPr>
              <w:t xml:space="preserve">. </w:t>
            </w:r>
          </w:p>
          <w:p w14:paraId="3CF74112" w14:textId="40D05F7B" w:rsidR="00652133" w:rsidRPr="00F5184F" w:rsidRDefault="00652133" w:rsidP="00C14A1C">
            <w:pPr>
              <w:pStyle w:val="BodyText"/>
              <w:ind w:left="46"/>
              <w:rPr>
                <w:lang w:val="sv-SE"/>
              </w:rPr>
            </w:pPr>
            <w:r w:rsidRPr="00F5184F">
              <w:rPr>
                <w:lang w:val="sv-FI"/>
              </w:rPr>
              <w:t xml:space="preserve">Enligt forskningen </w:t>
            </w:r>
            <w:r w:rsidR="00A61EA5" w:rsidRPr="00F5184F">
              <w:rPr>
                <w:lang w:val="sv-FI"/>
              </w:rPr>
              <w:t xml:space="preserve">är </w:t>
            </w:r>
            <w:r w:rsidRPr="00F5184F">
              <w:rPr>
                <w:lang w:val="sv-FI"/>
              </w:rPr>
              <w:t xml:space="preserve">effektiv </w:t>
            </w:r>
            <w:r w:rsidR="0026473E" w:rsidRPr="00F5184F">
              <w:rPr>
                <w:lang w:val="sv-FI"/>
              </w:rPr>
              <w:t>densitet</w:t>
            </w:r>
            <w:r w:rsidRPr="00F5184F">
              <w:rPr>
                <w:lang w:val="sv-FI"/>
              </w:rPr>
              <w:t xml:space="preserve"> det bästa sättet att beskriva </w:t>
            </w:r>
            <w:r w:rsidR="0026473E" w:rsidRPr="00F5184F">
              <w:rPr>
                <w:lang w:val="sv-FI"/>
              </w:rPr>
              <w:t>agglomeration</w:t>
            </w:r>
            <w:r w:rsidRPr="00F5184F">
              <w:rPr>
                <w:lang w:val="sv-FI"/>
              </w:rPr>
              <w:t xml:space="preserve">. Avgörande i fastställningen av mätaren för effektiv </w:t>
            </w:r>
            <w:r w:rsidR="0026473E" w:rsidRPr="00F5184F">
              <w:rPr>
                <w:lang w:val="sv-FI"/>
              </w:rPr>
              <w:t>densitet</w:t>
            </w:r>
            <w:r w:rsidRPr="00F5184F">
              <w:rPr>
                <w:lang w:val="sv-FI"/>
              </w:rPr>
              <w:t xml:space="preserve"> är områdesbegränsningen, fastställningen av ekonomisk massa, distansmåttet och distansens betydelse (konsekvensens dämpning). En så noggrann områdesindelning som möjligt anses vara eftersträvansvärt i beräkningen av effektiv </w:t>
            </w:r>
            <w:r w:rsidR="00A61EA5" w:rsidRPr="00F5184F">
              <w:rPr>
                <w:lang w:val="sv-FI"/>
              </w:rPr>
              <w:t>densitet</w:t>
            </w:r>
            <w:r w:rsidRPr="00F5184F">
              <w:rPr>
                <w:lang w:val="sv-FI"/>
              </w:rPr>
              <w:t xml:space="preserve"> eftersom konsekvenserna snabbt dämpas. Den ekonomiska massan fastställs i allmänhet enligt antalet arbetsplatser. Generaliserad resekostnad är det distansmått som rekommenderas. Valet av dämpningsfaktor är en empirisk fråga om vilken form som bäst passar iakttagelserna. Bedömningen av </w:t>
            </w:r>
            <w:r w:rsidR="00A61EA5" w:rsidRPr="00F5184F">
              <w:rPr>
                <w:lang w:val="sv-FI"/>
              </w:rPr>
              <w:t>agglomerations</w:t>
            </w:r>
            <w:r w:rsidR="005B07B3" w:rsidRPr="00F5184F">
              <w:rPr>
                <w:lang w:val="sv-FI"/>
              </w:rPr>
              <w:t xml:space="preserve">effekter </w:t>
            </w:r>
            <w:r w:rsidR="008F5685" w:rsidRPr="00F5184F">
              <w:rPr>
                <w:lang w:val="sv-FI"/>
              </w:rPr>
              <w:t>har officiellt införlivats i bedömningen av de bredare ekonomiska effekterna av infrastrukturprojekt i Storbritannien och baseras på samma modell i vissa andra länder.</w:t>
            </w:r>
            <w:r w:rsidRPr="00F5184F">
              <w:rPr>
                <w:lang w:val="sv-FI"/>
              </w:rPr>
              <w:t xml:space="preserve"> </w:t>
            </w:r>
            <w:r w:rsidR="00A61EA5" w:rsidRPr="00F5184F">
              <w:rPr>
                <w:lang w:val="sv-FI"/>
              </w:rPr>
              <w:t>Agglomerations</w:t>
            </w:r>
            <w:r w:rsidRPr="00F5184F">
              <w:rPr>
                <w:lang w:val="sv-FI"/>
              </w:rPr>
              <w:t xml:space="preserve">fenomenet och bedömningen av det är dock alltjämt föremål för forskning även i Storbritannien. </w:t>
            </w:r>
          </w:p>
          <w:p w14:paraId="7488149F" w14:textId="0873E7B3" w:rsidR="00652133" w:rsidRPr="00F5184F" w:rsidRDefault="00652133" w:rsidP="00C14A1C">
            <w:pPr>
              <w:pStyle w:val="BodyText"/>
              <w:ind w:left="46"/>
              <w:rPr>
                <w:lang w:val="sv-SE"/>
              </w:rPr>
            </w:pPr>
            <w:r w:rsidRPr="00F5184F">
              <w:rPr>
                <w:lang w:val="sv-FI"/>
              </w:rPr>
              <w:t xml:space="preserve">Som mätare för effektiv </w:t>
            </w:r>
            <w:r w:rsidR="00A61EA5" w:rsidRPr="00F5184F">
              <w:rPr>
                <w:lang w:val="sv-FI"/>
              </w:rPr>
              <w:t>densitet</w:t>
            </w:r>
            <w:r w:rsidRPr="00F5184F">
              <w:rPr>
                <w:lang w:val="sv-FI"/>
              </w:rPr>
              <w:t xml:space="preserve"> som lämpar sig för Finland rekommenderas en modell som skiljer åt </w:t>
            </w:r>
            <w:r w:rsidR="00A61EA5" w:rsidRPr="00F5184F">
              <w:rPr>
                <w:lang w:val="sv-FI"/>
              </w:rPr>
              <w:t>näringsgrens</w:t>
            </w:r>
            <w:r w:rsidRPr="00F5184F">
              <w:rPr>
                <w:lang w:val="sv-FI"/>
              </w:rPr>
              <w:t xml:space="preserve">grupper vars faktorer är </w:t>
            </w:r>
            <w:r w:rsidR="005B07B3" w:rsidRPr="00F5184F">
              <w:rPr>
                <w:lang w:val="sv-FI"/>
              </w:rPr>
              <w:t>totala uppoffringarna</w:t>
            </w:r>
            <w:r w:rsidRPr="00F5184F">
              <w:rPr>
                <w:lang w:val="sv-FI"/>
              </w:rPr>
              <w:t xml:space="preserve"> för arbetsrelaterade resor mellan områdena viktad med färdsättsandelar, områdenas antal arbetsplatser, uppskattad dämpningsparameter och </w:t>
            </w:r>
            <w:r w:rsidR="00A61EA5" w:rsidRPr="00F5184F">
              <w:rPr>
                <w:lang w:val="sv-FI"/>
              </w:rPr>
              <w:t>näringsgrens</w:t>
            </w:r>
            <w:r w:rsidRPr="00F5184F">
              <w:rPr>
                <w:lang w:val="sv-FI"/>
              </w:rPr>
              <w:t xml:space="preserve">gruppsspecifika koefficienter. </w:t>
            </w:r>
            <w:r w:rsidR="00A61EA5" w:rsidRPr="00F5184F">
              <w:rPr>
                <w:lang w:val="sv-FI"/>
              </w:rPr>
              <w:t>E</w:t>
            </w:r>
            <w:r w:rsidRPr="00F5184F">
              <w:rPr>
                <w:lang w:val="sv-FI"/>
              </w:rPr>
              <w:t xml:space="preserve">ffektiv </w:t>
            </w:r>
            <w:r w:rsidR="00A61EA5" w:rsidRPr="00F5184F">
              <w:rPr>
                <w:lang w:val="sv-FI"/>
              </w:rPr>
              <w:t>densitet</w:t>
            </w:r>
            <w:r w:rsidRPr="00F5184F">
              <w:rPr>
                <w:lang w:val="sv-FI"/>
              </w:rPr>
              <w:t xml:space="preserve"> definieras för en så noggrann områdesindelning som möjligt och kombineras vid behov med en större områdesindelning i relation till antalet arbetsplatser. </w:t>
            </w:r>
          </w:p>
          <w:p w14:paraId="238C03BC" w14:textId="3FC6D594" w:rsidR="00652133" w:rsidRPr="00F5184F" w:rsidRDefault="00652133" w:rsidP="00C14A1C">
            <w:pPr>
              <w:pStyle w:val="BodyText"/>
              <w:ind w:left="46"/>
              <w:rPr>
                <w:lang w:val="sv-FI"/>
              </w:rPr>
            </w:pPr>
            <w:r w:rsidRPr="00F5184F">
              <w:rPr>
                <w:lang w:val="sv-FI"/>
              </w:rPr>
              <w:t xml:space="preserve">Nästa steg i forsknings- och utvecklingshelheten för bedömningen av </w:t>
            </w:r>
            <w:r w:rsidR="00A61EA5" w:rsidRPr="00F5184F">
              <w:rPr>
                <w:lang w:val="sv-FI"/>
              </w:rPr>
              <w:t>agglomerations</w:t>
            </w:r>
            <w:r w:rsidR="005B07B3" w:rsidRPr="00F5184F">
              <w:rPr>
                <w:lang w:val="sv-FI"/>
              </w:rPr>
              <w:t>effekter</w:t>
            </w:r>
            <w:r w:rsidRPr="00F5184F">
              <w:rPr>
                <w:lang w:val="sv-FI"/>
              </w:rPr>
              <w:t xml:space="preserve"> är en definition av den </w:t>
            </w:r>
            <w:r w:rsidR="00A61EA5" w:rsidRPr="00F5184F">
              <w:rPr>
                <w:lang w:val="sv-FI"/>
              </w:rPr>
              <w:t>näringsgrensgrupp</w:t>
            </w:r>
            <w:r w:rsidRPr="00F5184F">
              <w:rPr>
                <w:lang w:val="sv-FI"/>
              </w:rPr>
              <w:t>specifika produktivitets</w:t>
            </w:r>
            <w:r w:rsidR="00A61EA5" w:rsidRPr="00F5184F">
              <w:rPr>
                <w:lang w:val="sv-FI"/>
              </w:rPr>
              <w:t>elasti</w:t>
            </w:r>
            <w:r w:rsidR="00627B14">
              <w:rPr>
                <w:lang w:val="sv-FI"/>
              </w:rPr>
              <w:t>c</w:t>
            </w:r>
            <w:r w:rsidR="00A61EA5" w:rsidRPr="00F5184F">
              <w:rPr>
                <w:lang w:val="sv-FI"/>
              </w:rPr>
              <w:t>iteter</w:t>
            </w:r>
            <w:r w:rsidRPr="00F5184F">
              <w:rPr>
                <w:lang w:val="sv-FI"/>
              </w:rPr>
              <w:t xml:space="preserve"> med en uppskattning av produktionsfunktionen. Uppskattningen av produktionsfunktionen är motiverad för Helsingfors</w:t>
            </w:r>
            <w:r w:rsidR="00A61EA5" w:rsidRPr="00F5184F">
              <w:rPr>
                <w:lang w:val="sv-FI"/>
              </w:rPr>
              <w:t>regionen</w:t>
            </w:r>
            <w:r w:rsidRPr="00F5184F">
              <w:rPr>
                <w:lang w:val="sv-FI"/>
              </w:rPr>
              <w:t xml:space="preserve"> och Åbo</w:t>
            </w:r>
            <w:r w:rsidR="00A61EA5" w:rsidRPr="00F5184F">
              <w:rPr>
                <w:lang w:val="sv-FI"/>
              </w:rPr>
              <w:t>regionen</w:t>
            </w:r>
            <w:r w:rsidR="00F05F7B" w:rsidRPr="00F5184F">
              <w:rPr>
                <w:lang w:val="sv-FI"/>
              </w:rPr>
              <w:t>,</w:t>
            </w:r>
            <w:r w:rsidRPr="00F5184F">
              <w:rPr>
                <w:lang w:val="sv-FI"/>
              </w:rPr>
              <w:t xml:space="preserve"> </w:t>
            </w:r>
            <w:r w:rsidR="00F05F7B" w:rsidRPr="00F5184F">
              <w:rPr>
                <w:lang w:val="sv-FI"/>
              </w:rPr>
              <w:t xml:space="preserve">till exempel, </w:t>
            </w:r>
            <w:r w:rsidRPr="00F5184F">
              <w:rPr>
                <w:lang w:val="sv-FI"/>
              </w:rPr>
              <w:t>samt på nationell nivå för att utreda de regionala skillnaderna. I forskningen ska man göra sensitivitetsgranskning av dämpningsparametrarna och granska hurdan betydelse</w:t>
            </w:r>
            <w:r w:rsidR="00F5184F">
              <w:rPr>
                <w:lang w:val="sv-FI"/>
              </w:rPr>
              <w:t xml:space="preserve"> har </w:t>
            </w:r>
            <w:r w:rsidRPr="00F5184F">
              <w:rPr>
                <w:lang w:val="sv-FI"/>
              </w:rPr>
              <w:t xml:space="preserve">förändringar i de olika färdsättens reserespons på produktiviteten. </w:t>
            </w:r>
          </w:p>
          <w:p w14:paraId="71C05B46" w14:textId="4F9151AC" w:rsidR="00652133" w:rsidRPr="00F5184F" w:rsidRDefault="00652133" w:rsidP="00C14A1C">
            <w:pPr>
              <w:pStyle w:val="BodyText"/>
              <w:ind w:left="46"/>
              <w:rPr>
                <w:lang w:val="sv-SE"/>
              </w:rPr>
            </w:pPr>
            <w:r w:rsidRPr="00F5184F">
              <w:rPr>
                <w:lang w:val="sv-FI"/>
              </w:rPr>
              <w:t xml:space="preserve">Vid sidan av forskningsarbetet granskas </w:t>
            </w:r>
            <w:r w:rsidR="00A61EA5" w:rsidRPr="00F5184F">
              <w:rPr>
                <w:lang w:val="sv-FI"/>
              </w:rPr>
              <w:t>agglomerations</w:t>
            </w:r>
            <w:r w:rsidR="005B07B3" w:rsidRPr="00F5184F">
              <w:rPr>
                <w:lang w:val="sv-FI"/>
              </w:rPr>
              <w:t>effekter</w:t>
            </w:r>
            <w:r w:rsidRPr="00F5184F">
              <w:rPr>
                <w:lang w:val="sv-FI"/>
              </w:rPr>
              <w:t xml:space="preserve"> </w:t>
            </w:r>
            <w:r w:rsidR="005B07B3" w:rsidRPr="00F5184F">
              <w:rPr>
                <w:lang w:val="sv-FI"/>
              </w:rPr>
              <w:t xml:space="preserve">kvalitativt </w:t>
            </w:r>
            <w:r w:rsidRPr="00F5184F">
              <w:rPr>
                <w:lang w:val="sv-FI"/>
              </w:rPr>
              <w:t xml:space="preserve">enligt kommunikationsministeriets </w:t>
            </w:r>
            <w:r w:rsidR="005B07B3" w:rsidRPr="00F5184F">
              <w:rPr>
                <w:lang w:val="sv-FI"/>
              </w:rPr>
              <w:t xml:space="preserve">ramverk </w:t>
            </w:r>
            <w:r w:rsidRPr="00F5184F">
              <w:rPr>
                <w:lang w:val="sv-FI"/>
              </w:rPr>
              <w:t xml:space="preserve">med hjälp av ändringar i de </w:t>
            </w:r>
            <w:r w:rsidR="005B07B3" w:rsidRPr="00F5184F">
              <w:rPr>
                <w:lang w:val="sv-FI"/>
              </w:rPr>
              <w:t>totala uppoffringarna för arbetsrelaterade resor</w:t>
            </w:r>
            <w:r w:rsidRPr="00F5184F">
              <w:rPr>
                <w:lang w:val="sv-FI"/>
              </w:rPr>
              <w:t xml:space="preserve">. Målet med ramarbetet för bedömningen av </w:t>
            </w:r>
            <w:r w:rsidR="005B07B3" w:rsidRPr="00F5184F">
              <w:rPr>
                <w:lang w:val="sv-FI"/>
              </w:rPr>
              <w:t>agglomerationseffekter</w:t>
            </w:r>
            <w:r w:rsidRPr="00F5184F">
              <w:rPr>
                <w:lang w:val="sv-FI"/>
              </w:rPr>
              <w:t xml:space="preserve"> är att begränsa metoden och dess användningsobjekt till en del av utvärderingsanvisningarna för planeringen av trafik och markanvändning.</w:t>
            </w:r>
          </w:p>
        </w:tc>
      </w:tr>
      <w:tr w:rsidR="00BE5EC4" w:rsidRPr="00E60C29" w14:paraId="4D79288B" w14:textId="77777777" w:rsidTr="007E4C69">
        <w:trPr>
          <w:trHeight w:val="567"/>
        </w:trPr>
        <w:tc>
          <w:tcPr>
            <w:tcW w:w="4720" w:type="dxa"/>
          </w:tcPr>
          <w:p w14:paraId="2672202F" w14:textId="77777777" w:rsidR="00BE5EC4" w:rsidRPr="00E60C29" w:rsidRDefault="00BE5EC4" w:rsidP="007E4C69">
            <w:pPr>
              <w:pStyle w:val="Taulukkoteksti"/>
              <w:rPr>
                <w:rFonts w:asciiTheme="minorHAnsi" w:hAnsiTheme="minorHAnsi"/>
                <w:lang w:val="sv-SE"/>
              </w:rPr>
            </w:pPr>
            <w:r w:rsidRPr="00E60C29">
              <w:rPr>
                <w:rFonts w:asciiTheme="minorHAnsi" w:hAnsiTheme="minorHAnsi"/>
                <w:lang w:val="sv-SE"/>
              </w:rPr>
              <w:t>Kontaktperson</w:t>
            </w:r>
          </w:p>
          <w:p w14:paraId="0349819F" w14:textId="6EBE258D" w:rsidR="00BE5EC4" w:rsidRPr="00C14A1C" w:rsidRDefault="004C2A6C" w:rsidP="007E4C69">
            <w:pPr>
              <w:pStyle w:val="Taulukkoteksti"/>
              <w:rPr>
                <w:rFonts w:ascii="Calibri" w:hAnsi="Calibri" w:cs="Calibri"/>
                <w:lang w:val="sv-SE"/>
              </w:rPr>
            </w:pPr>
            <w:r w:rsidRPr="00C14A1C">
              <w:rPr>
                <w:rFonts w:ascii="Calibri" w:hAnsi="Calibri" w:cs="Calibri"/>
                <w:lang w:val="sv-SE"/>
              </w:rPr>
              <w:t>Tuomo Suvanto</w:t>
            </w:r>
          </w:p>
        </w:tc>
        <w:tc>
          <w:tcPr>
            <w:tcW w:w="1417" w:type="dxa"/>
          </w:tcPr>
          <w:p w14:paraId="35FE5C5F" w14:textId="77777777" w:rsidR="00BE5EC4" w:rsidRPr="00E60C29" w:rsidRDefault="00BE5EC4" w:rsidP="007E4C69">
            <w:pPr>
              <w:pStyle w:val="Taulukkoteksti"/>
              <w:rPr>
                <w:rFonts w:asciiTheme="minorHAnsi" w:hAnsiTheme="minorHAnsi"/>
                <w:lang w:val="sv-SE"/>
              </w:rPr>
            </w:pPr>
            <w:r w:rsidRPr="00E60C29">
              <w:rPr>
                <w:rFonts w:asciiTheme="minorHAnsi" w:hAnsiTheme="minorHAnsi"/>
                <w:lang w:val="sv-SE"/>
              </w:rPr>
              <w:t>Språk</w:t>
            </w:r>
          </w:p>
          <w:p w14:paraId="7A2A7769" w14:textId="62D94FCA" w:rsidR="00BE5EC4" w:rsidRPr="00C14A1C" w:rsidRDefault="004C2A6C" w:rsidP="007E4C69">
            <w:pPr>
              <w:pStyle w:val="Taulukkoteksti"/>
              <w:rPr>
                <w:rFonts w:ascii="Calibri" w:hAnsi="Calibri" w:cs="Calibri"/>
                <w:lang w:val="sv-SE"/>
              </w:rPr>
            </w:pPr>
            <w:r w:rsidRPr="00C14A1C">
              <w:rPr>
                <w:rFonts w:ascii="Calibri" w:hAnsi="Calibri" w:cs="Calibri"/>
                <w:lang w:val="sv-SE"/>
              </w:rPr>
              <w:t>Finska</w:t>
            </w:r>
          </w:p>
        </w:tc>
        <w:tc>
          <w:tcPr>
            <w:tcW w:w="1843" w:type="dxa"/>
            <w:gridSpan w:val="2"/>
          </w:tcPr>
          <w:p w14:paraId="4A33F240" w14:textId="77777777" w:rsidR="00BE5EC4" w:rsidRPr="00E60C29" w:rsidRDefault="00BE5EC4" w:rsidP="007E4C69">
            <w:pPr>
              <w:pStyle w:val="Taulukkoteksti"/>
              <w:rPr>
                <w:rFonts w:asciiTheme="minorHAnsi" w:hAnsiTheme="minorHAnsi"/>
                <w:lang w:val="sv-SE"/>
              </w:rPr>
            </w:pPr>
            <w:r w:rsidRPr="00E60C29">
              <w:rPr>
                <w:rFonts w:asciiTheme="minorHAnsi" w:hAnsiTheme="minorHAnsi"/>
                <w:lang w:val="sv-SE"/>
              </w:rPr>
              <w:t>Sekretessgrad</w:t>
            </w:r>
          </w:p>
          <w:p w14:paraId="45E16BDF" w14:textId="5287DA0D" w:rsidR="00BE5EC4" w:rsidRPr="00C14A1C" w:rsidRDefault="004C2A6C" w:rsidP="007E4C69">
            <w:pPr>
              <w:pStyle w:val="Taulukkoteksti"/>
              <w:rPr>
                <w:rFonts w:ascii="Calibri" w:hAnsi="Calibri" w:cs="Calibri"/>
                <w:lang w:val="sv-SE"/>
              </w:rPr>
            </w:pPr>
            <w:r w:rsidRPr="00C14A1C">
              <w:rPr>
                <w:rFonts w:ascii="Calibri" w:hAnsi="Calibri" w:cs="Calibri"/>
                <w:lang w:val="sv-SE"/>
              </w:rPr>
              <w:t>Offentlig</w:t>
            </w:r>
          </w:p>
        </w:tc>
        <w:tc>
          <w:tcPr>
            <w:tcW w:w="1842" w:type="dxa"/>
          </w:tcPr>
          <w:p w14:paraId="73F4360E" w14:textId="77777777" w:rsidR="00BE5EC4" w:rsidRPr="00E60C29" w:rsidRDefault="00BE5EC4" w:rsidP="007E4C69">
            <w:pPr>
              <w:pStyle w:val="Taulukkoteksti"/>
              <w:rPr>
                <w:rFonts w:asciiTheme="minorHAnsi" w:hAnsiTheme="minorHAnsi"/>
                <w:lang w:val="sv-SE"/>
              </w:rPr>
            </w:pPr>
            <w:r w:rsidRPr="00E60C29">
              <w:rPr>
                <w:rFonts w:asciiTheme="minorHAnsi" w:hAnsiTheme="minorHAnsi"/>
                <w:lang w:val="sv-SE"/>
              </w:rPr>
              <w:t>Sidoantal</w:t>
            </w:r>
          </w:p>
          <w:p w14:paraId="7ACAB470" w14:textId="6EF5678F" w:rsidR="00BE5EC4" w:rsidRPr="00E60C29" w:rsidRDefault="00C14A1C" w:rsidP="00C14A1C">
            <w:pPr>
              <w:pStyle w:val="BodyText"/>
              <w:ind w:left="0"/>
              <w:jc w:val="both"/>
              <w:rPr>
                <w:lang w:val="sv-SE"/>
              </w:rPr>
            </w:pPr>
            <w:r>
              <w:rPr>
                <w:lang w:val="sv-SE"/>
              </w:rPr>
              <w:t>4</w:t>
            </w:r>
            <w:r w:rsidR="00F214CB">
              <w:rPr>
                <w:lang w:val="sv-SE"/>
              </w:rPr>
              <w:t>0</w:t>
            </w:r>
            <w:r>
              <w:rPr>
                <w:lang w:val="sv-SE"/>
              </w:rPr>
              <w:t>+2</w:t>
            </w:r>
          </w:p>
        </w:tc>
      </w:tr>
      <w:tr w:rsidR="00BE5EC4" w:rsidRPr="00E60C29" w14:paraId="19EFA2E1" w14:textId="77777777" w:rsidTr="00C14A1C">
        <w:trPr>
          <w:trHeight w:val="528"/>
        </w:trPr>
        <w:tc>
          <w:tcPr>
            <w:tcW w:w="4720" w:type="dxa"/>
          </w:tcPr>
          <w:p w14:paraId="3C154014" w14:textId="77777777" w:rsidR="00BE5EC4" w:rsidRPr="00E60C29" w:rsidRDefault="00BE5EC4" w:rsidP="007E4C69">
            <w:pPr>
              <w:pStyle w:val="Taulukkoteksti"/>
              <w:rPr>
                <w:rFonts w:asciiTheme="minorHAnsi" w:hAnsiTheme="minorHAnsi"/>
                <w:lang w:val="sv-SE"/>
              </w:rPr>
            </w:pPr>
            <w:r w:rsidRPr="00E60C29">
              <w:rPr>
                <w:rFonts w:asciiTheme="minorHAnsi" w:hAnsiTheme="minorHAnsi"/>
                <w:lang w:val="sv-SE"/>
              </w:rPr>
              <w:t>Distribution</w:t>
            </w:r>
          </w:p>
          <w:p w14:paraId="1648021B" w14:textId="227D5A58" w:rsidR="00BE5EC4" w:rsidRPr="008F5685" w:rsidRDefault="00C14A1C" w:rsidP="007E4C69">
            <w:pPr>
              <w:pStyle w:val="Taulukkoteksti"/>
              <w:rPr>
                <w:rFonts w:ascii="Calibri" w:hAnsi="Calibri" w:cs="Calibri"/>
                <w:lang w:val="sv-SE"/>
              </w:rPr>
            </w:pPr>
            <w:r w:rsidRPr="008F5685">
              <w:rPr>
                <w:rFonts w:ascii="Calibri" w:hAnsi="Calibri" w:cs="Calibri"/>
                <w:lang w:val="sv-SE"/>
              </w:rPr>
              <w:t>Transport och kommunikationsverket</w:t>
            </w:r>
          </w:p>
        </w:tc>
        <w:tc>
          <w:tcPr>
            <w:tcW w:w="5102" w:type="dxa"/>
            <w:gridSpan w:val="4"/>
          </w:tcPr>
          <w:p w14:paraId="63857A2E" w14:textId="77777777" w:rsidR="00BE5EC4" w:rsidRPr="00E60C29" w:rsidRDefault="00BE5EC4" w:rsidP="007E4C69">
            <w:pPr>
              <w:pStyle w:val="Taulukkoteksti"/>
              <w:rPr>
                <w:rFonts w:asciiTheme="minorHAnsi" w:hAnsiTheme="minorHAnsi"/>
                <w:lang w:val="sv-SE"/>
              </w:rPr>
            </w:pPr>
            <w:r w:rsidRPr="00E60C29">
              <w:rPr>
                <w:rFonts w:asciiTheme="minorHAnsi" w:hAnsiTheme="minorHAnsi"/>
                <w:lang w:val="sv-SE"/>
              </w:rPr>
              <w:t xml:space="preserve">Förlag </w:t>
            </w:r>
          </w:p>
          <w:p w14:paraId="12AD35A4" w14:textId="63020BC6" w:rsidR="00BE5EC4" w:rsidRPr="008F5685" w:rsidRDefault="00C14A1C" w:rsidP="007E4C69">
            <w:pPr>
              <w:pStyle w:val="Taulukkoteksti"/>
              <w:rPr>
                <w:rFonts w:ascii="Calibri" w:hAnsi="Calibri" w:cs="Calibri"/>
                <w:lang w:val="sv-SE"/>
              </w:rPr>
            </w:pPr>
            <w:r w:rsidRPr="008F5685">
              <w:rPr>
                <w:rFonts w:ascii="Calibri" w:hAnsi="Calibri" w:cs="Calibri"/>
                <w:lang w:val="sv-SE"/>
              </w:rPr>
              <w:t>Transport och kommunikationsverket</w:t>
            </w:r>
          </w:p>
        </w:tc>
      </w:tr>
    </w:tbl>
    <w:p w14:paraId="19486476" w14:textId="77777777" w:rsidR="00BE5EC4" w:rsidRDefault="00BE5EC4"/>
    <w:p w14:paraId="0942CABA" w14:textId="0E531540" w:rsidR="00BE5EC4" w:rsidRDefault="00BE5EC4"/>
    <w:p w14:paraId="6267FC76" w14:textId="77777777" w:rsidR="00BE5EC4" w:rsidRDefault="00BE5EC4" w:rsidP="00BE5EC4"/>
    <w:tbl>
      <w:tblPr>
        <w:tblStyle w:val="TableNormal1"/>
        <w:tblW w:w="9822" w:type="dxa"/>
        <w:tblInd w:w="100" w:type="dxa"/>
        <w:tblBorders>
          <w:top w:val="single" w:sz="4" w:space="0" w:color="818181"/>
          <w:left w:val="single" w:sz="4" w:space="0" w:color="818181"/>
          <w:bottom w:val="single" w:sz="4" w:space="0" w:color="818181"/>
          <w:right w:val="single" w:sz="4" w:space="0" w:color="818181"/>
          <w:insideH w:val="single" w:sz="4" w:space="0" w:color="818181"/>
          <w:insideV w:val="single" w:sz="4" w:space="0" w:color="818181"/>
        </w:tblBorders>
        <w:tblLayout w:type="fixed"/>
        <w:tblCellMar>
          <w:left w:w="57" w:type="dxa"/>
          <w:right w:w="28" w:type="dxa"/>
        </w:tblCellMar>
        <w:tblLook w:val="01E0" w:firstRow="1" w:lastRow="1" w:firstColumn="1" w:lastColumn="1" w:noHBand="0" w:noVBand="0"/>
      </w:tblPr>
      <w:tblGrid>
        <w:gridCol w:w="4720"/>
        <w:gridCol w:w="1417"/>
        <w:gridCol w:w="1271"/>
        <w:gridCol w:w="572"/>
        <w:gridCol w:w="1842"/>
      </w:tblGrid>
      <w:tr w:rsidR="00BE5EC4" w:rsidRPr="00233D09" w14:paraId="490D68E8" w14:textId="77777777" w:rsidTr="007E4C69">
        <w:trPr>
          <w:trHeight w:val="397"/>
        </w:trPr>
        <w:tc>
          <w:tcPr>
            <w:tcW w:w="7408" w:type="dxa"/>
            <w:gridSpan w:val="3"/>
            <w:vMerge w:val="restart"/>
            <w:tcBorders>
              <w:top w:val="nil"/>
              <w:left w:val="nil"/>
              <w:right w:val="nil"/>
            </w:tcBorders>
          </w:tcPr>
          <w:p w14:paraId="4A4D323A" w14:textId="77777777" w:rsidR="00BE5EC4" w:rsidRPr="00233D09" w:rsidRDefault="0059230D" w:rsidP="007E4C69">
            <w:pPr>
              <w:rPr>
                <w:rFonts w:asciiTheme="minorHAnsi" w:hAnsiTheme="minorHAnsi"/>
                <w:sz w:val="16"/>
                <w:lang w:val="en-GB"/>
              </w:rPr>
            </w:pPr>
            <w:r>
              <w:rPr>
                <w:noProof/>
                <w:lang w:eastAsia="fi-FI"/>
              </w:rPr>
              <w:drawing>
                <wp:inline distT="0" distB="0" distL="0" distR="0" wp14:anchorId="6C4114EA" wp14:editId="17CC433B">
                  <wp:extent cx="1742400" cy="364706"/>
                  <wp:effectExtent l="0" t="0" r="0" b="0"/>
                  <wp:docPr id="6" name="Kuva 6" descr="Trafico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42400" cy="364706"/>
                          </a:xfrm>
                          <a:prstGeom prst="rect">
                            <a:avLst/>
                          </a:prstGeom>
                          <a:noFill/>
                          <a:ln>
                            <a:noFill/>
                          </a:ln>
                        </pic:spPr>
                      </pic:pic>
                    </a:graphicData>
                  </a:graphic>
                </wp:inline>
              </w:drawing>
            </w:r>
          </w:p>
        </w:tc>
        <w:tc>
          <w:tcPr>
            <w:tcW w:w="2414" w:type="dxa"/>
            <w:gridSpan w:val="2"/>
            <w:tcBorders>
              <w:top w:val="nil"/>
              <w:left w:val="nil"/>
              <w:bottom w:val="nil"/>
              <w:right w:val="nil"/>
            </w:tcBorders>
            <w:vAlign w:val="bottom"/>
          </w:tcPr>
          <w:p w14:paraId="0E8CC27A" w14:textId="77777777" w:rsidR="00BE5EC4" w:rsidRPr="00233D09" w:rsidRDefault="00BE5EC4" w:rsidP="007E4C69">
            <w:pPr>
              <w:rPr>
                <w:rFonts w:asciiTheme="minorHAnsi" w:hAnsiTheme="minorHAnsi"/>
                <w:sz w:val="18"/>
                <w:lang w:val="en-GB"/>
              </w:rPr>
            </w:pPr>
            <w:r w:rsidRPr="00233D09">
              <w:rPr>
                <w:rFonts w:asciiTheme="minorHAnsi" w:hAnsiTheme="minorHAnsi"/>
                <w:sz w:val="18"/>
                <w:lang w:val="en-GB"/>
              </w:rPr>
              <w:t>Date of publication</w:t>
            </w:r>
          </w:p>
        </w:tc>
      </w:tr>
      <w:tr w:rsidR="00BE5EC4" w:rsidRPr="00233D09" w14:paraId="375605B6" w14:textId="77777777" w:rsidTr="007E4C69">
        <w:trPr>
          <w:trHeight w:val="270"/>
        </w:trPr>
        <w:tc>
          <w:tcPr>
            <w:tcW w:w="7408" w:type="dxa"/>
            <w:gridSpan w:val="3"/>
            <w:vMerge/>
            <w:tcBorders>
              <w:left w:val="nil"/>
              <w:bottom w:val="single" w:sz="4" w:space="0" w:color="818181"/>
              <w:right w:val="nil"/>
            </w:tcBorders>
          </w:tcPr>
          <w:p w14:paraId="227E7B07" w14:textId="77777777" w:rsidR="00BE5EC4" w:rsidRPr="00233D09" w:rsidRDefault="00BE5EC4" w:rsidP="007E4C69">
            <w:pPr>
              <w:rPr>
                <w:rFonts w:asciiTheme="minorHAnsi" w:hAnsiTheme="minorHAnsi"/>
                <w:sz w:val="16"/>
                <w:lang w:val="en-GB"/>
              </w:rPr>
            </w:pPr>
          </w:p>
        </w:tc>
        <w:tc>
          <w:tcPr>
            <w:tcW w:w="2414" w:type="dxa"/>
            <w:gridSpan w:val="2"/>
            <w:tcBorders>
              <w:top w:val="nil"/>
              <w:left w:val="nil"/>
              <w:bottom w:val="nil"/>
              <w:right w:val="nil"/>
            </w:tcBorders>
          </w:tcPr>
          <w:p w14:paraId="694280D9" w14:textId="401F631F" w:rsidR="00BE5EC4" w:rsidRPr="00233D09" w:rsidRDefault="00F5184F" w:rsidP="007E4C69">
            <w:pPr>
              <w:rPr>
                <w:rFonts w:asciiTheme="minorHAnsi" w:hAnsiTheme="minorHAnsi"/>
                <w:sz w:val="16"/>
                <w:lang w:val="en-GB"/>
              </w:rPr>
            </w:pPr>
            <w:r>
              <w:rPr>
                <w:lang w:val="en-GB"/>
              </w:rPr>
              <w:t>5.8.2021</w:t>
            </w:r>
          </w:p>
        </w:tc>
      </w:tr>
      <w:tr w:rsidR="00C14A1C" w:rsidRPr="0040610B" w14:paraId="4EE42EC0" w14:textId="77777777" w:rsidTr="007E4C69">
        <w:trPr>
          <w:trHeight w:val="567"/>
        </w:trPr>
        <w:tc>
          <w:tcPr>
            <w:tcW w:w="9822" w:type="dxa"/>
            <w:gridSpan w:val="5"/>
            <w:tcBorders>
              <w:top w:val="single" w:sz="4" w:space="0" w:color="818181"/>
              <w:bottom w:val="single" w:sz="4" w:space="0" w:color="818181"/>
            </w:tcBorders>
          </w:tcPr>
          <w:p w14:paraId="2678DE7A" w14:textId="77777777" w:rsidR="00C14A1C" w:rsidRPr="00233D09" w:rsidRDefault="00C14A1C" w:rsidP="00C14A1C">
            <w:pPr>
              <w:rPr>
                <w:rFonts w:asciiTheme="minorHAnsi" w:hAnsiTheme="minorHAnsi"/>
                <w:sz w:val="16"/>
                <w:szCs w:val="16"/>
                <w:lang w:val="en-GB"/>
              </w:rPr>
            </w:pPr>
            <w:r w:rsidRPr="00233D09">
              <w:rPr>
                <w:rFonts w:asciiTheme="minorHAnsi" w:hAnsiTheme="minorHAnsi"/>
                <w:sz w:val="18"/>
                <w:lang w:val="en-GB"/>
              </w:rPr>
              <w:t>Title of publication</w:t>
            </w:r>
          </w:p>
          <w:p w14:paraId="1946DEF5" w14:textId="05FBA6E5" w:rsidR="00C14A1C" w:rsidRPr="00233D09" w:rsidRDefault="00C14A1C" w:rsidP="00C14A1C">
            <w:pPr>
              <w:rPr>
                <w:rFonts w:asciiTheme="minorHAnsi" w:hAnsiTheme="minorHAnsi"/>
                <w:lang w:val="en-GB"/>
              </w:rPr>
            </w:pPr>
            <w:r>
              <w:rPr>
                <w:lang w:val="en-GB"/>
              </w:rPr>
              <w:t>Report on an indicator for effective density</w:t>
            </w:r>
          </w:p>
        </w:tc>
      </w:tr>
      <w:tr w:rsidR="00C14A1C" w:rsidRPr="00233D09" w14:paraId="1B5137EC" w14:textId="77777777" w:rsidTr="00F5184F">
        <w:trPr>
          <w:trHeight w:val="659"/>
        </w:trPr>
        <w:tc>
          <w:tcPr>
            <w:tcW w:w="9822" w:type="dxa"/>
            <w:gridSpan w:val="5"/>
            <w:tcBorders>
              <w:top w:val="single" w:sz="4" w:space="0" w:color="818181"/>
            </w:tcBorders>
          </w:tcPr>
          <w:p w14:paraId="4CC2529C" w14:textId="77777777" w:rsidR="00C14A1C" w:rsidRPr="00EF1D2C" w:rsidRDefault="00C14A1C" w:rsidP="00C14A1C">
            <w:pPr>
              <w:rPr>
                <w:rFonts w:asciiTheme="minorHAnsi" w:hAnsiTheme="minorHAnsi"/>
                <w:sz w:val="16"/>
                <w:szCs w:val="16"/>
                <w:lang w:val="fi-FI"/>
              </w:rPr>
            </w:pPr>
            <w:r w:rsidRPr="00EF1D2C">
              <w:rPr>
                <w:rFonts w:asciiTheme="minorHAnsi" w:hAnsiTheme="minorHAnsi"/>
                <w:sz w:val="18"/>
                <w:lang w:val="fi-FI"/>
              </w:rPr>
              <w:t>Author</w:t>
            </w:r>
            <w:r w:rsidRPr="00EF1D2C">
              <w:rPr>
                <w:rFonts w:asciiTheme="minorHAnsi" w:hAnsiTheme="minorHAnsi"/>
                <w:sz w:val="16"/>
                <w:szCs w:val="16"/>
                <w:lang w:val="fi-FI"/>
              </w:rPr>
              <w:t>(s)</w:t>
            </w:r>
          </w:p>
          <w:p w14:paraId="60F46846" w14:textId="55E8125F" w:rsidR="00C14A1C" w:rsidRPr="00C14A1C" w:rsidRDefault="00C14A1C" w:rsidP="00C14A1C">
            <w:pPr>
              <w:rPr>
                <w:rFonts w:asciiTheme="minorHAnsi" w:hAnsiTheme="minorHAnsi"/>
                <w:lang w:val="fi-FI"/>
              </w:rPr>
            </w:pPr>
            <w:r w:rsidRPr="007D63C7">
              <w:rPr>
                <w:lang w:val="fi-FI"/>
              </w:rPr>
              <w:t>Petri Blomqvist, Antti Kauhanen, Heikki Metsäranta, Krista Riukula</w:t>
            </w:r>
          </w:p>
        </w:tc>
      </w:tr>
      <w:tr w:rsidR="00C14A1C" w:rsidRPr="0040610B" w14:paraId="7E22D2A8" w14:textId="77777777" w:rsidTr="007E4C69">
        <w:trPr>
          <w:trHeight w:val="567"/>
        </w:trPr>
        <w:tc>
          <w:tcPr>
            <w:tcW w:w="9822" w:type="dxa"/>
            <w:gridSpan w:val="5"/>
          </w:tcPr>
          <w:p w14:paraId="31F45481" w14:textId="77777777" w:rsidR="00C14A1C" w:rsidRPr="00233D09" w:rsidRDefault="00C14A1C" w:rsidP="00C14A1C">
            <w:pPr>
              <w:rPr>
                <w:rFonts w:asciiTheme="minorHAnsi" w:hAnsiTheme="minorHAnsi"/>
                <w:sz w:val="18"/>
                <w:lang w:val="en-GB"/>
              </w:rPr>
            </w:pPr>
            <w:r w:rsidRPr="00233D09">
              <w:rPr>
                <w:rFonts w:asciiTheme="minorHAnsi" w:hAnsiTheme="minorHAnsi"/>
                <w:sz w:val="18"/>
                <w:lang w:val="en-GB"/>
              </w:rPr>
              <w:t>Commissioned by, date</w:t>
            </w:r>
          </w:p>
          <w:p w14:paraId="12952115" w14:textId="55E2348D" w:rsidR="00C14A1C" w:rsidRPr="00233D09" w:rsidRDefault="00C14A1C" w:rsidP="00C14A1C">
            <w:pPr>
              <w:rPr>
                <w:rFonts w:asciiTheme="minorHAnsi" w:hAnsiTheme="minorHAnsi"/>
                <w:lang w:val="en-GB"/>
              </w:rPr>
            </w:pPr>
            <w:r>
              <w:rPr>
                <w:lang w:val="en-GB"/>
              </w:rPr>
              <w:t>Finnish Transport and Communications Agency</w:t>
            </w:r>
            <w:r w:rsidR="00F5184F">
              <w:rPr>
                <w:lang w:val="en-GB"/>
              </w:rPr>
              <w:t xml:space="preserve"> 12.1.2021</w:t>
            </w:r>
          </w:p>
        </w:tc>
      </w:tr>
      <w:tr w:rsidR="00C14A1C" w:rsidRPr="00652133" w14:paraId="6D7C59C6" w14:textId="77777777" w:rsidTr="00F5184F">
        <w:trPr>
          <w:trHeight w:val="805"/>
        </w:trPr>
        <w:tc>
          <w:tcPr>
            <w:tcW w:w="4720" w:type="dxa"/>
          </w:tcPr>
          <w:p w14:paraId="6E68AFF9" w14:textId="77777777" w:rsidR="00C14A1C" w:rsidRPr="00233D09" w:rsidRDefault="00C14A1C" w:rsidP="00C14A1C">
            <w:pPr>
              <w:rPr>
                <w:rFonts w:asciiTheme="minorHAnsi" w:hAnsiTheme="minorHAnsi"/>
                <w:sz w:val="18"/>
                <w:lang w:val="en-GB"/>
              </w:rPr>
            </w:pPr>
            <w:r w:rsidRPr="00233D09">
              <w:rPr>
                <w:rFonts w:asciiTheme="minorHAnsi" w:hAnsiTheme="minorHAnsi"/>
                <w:sz w:val="18"/>
                <w:lang w:val="en-GB"/>
              </w:rPr>
              <w:t>Publication series and number</w:t>
            </w:r>
          </w:p>
          <w:p w14:paraId="0BBE901B" w14:textId="7CBB39B2" w:rsidR="00C14A1C" w:rsidRPr="00233D09" w:rsidRDefault="00C14A1C" w:rsidP="00C14A1C">
            <w:pPr>
              <w:rPr>
                <w:rFonts w:asciiTheme="minorHAnsi" w:hAnsiTheme="minorHAnsi"/>
                <w:b/>
                <w:sz w:val="16"/>
                <w:szCs w:val="16"/>
                <w:lang w:val="en-GB"/>
              </w:rPr>
            </w:pPr>
            <w:r w:rsidRPr="00233D09">
              <w:rPr>
                <w:rFonts w:asciiTheme="minorHAnsi" w:hAnsiTheme="minorHAnsi"/>
                <w:b/>
                <w:lang w:val="en-GB"/>
              </w:rPr>
              <w:t>Traficom Research Reports</w:t>
            </w:r>
            <w:r w:rsidRPr="00233D09">
              <w:rPr>
                <w:rFonts w:asciiTheme="minorHAnsi" w:hAnsiTheme="minorHAnsi"/>
                <w:lang w:val="en-GB"/>
              </w:rPr>
              <w:t xml:space="preserve"> </w:t>
            </w:r>
            <w:sdt>
              <w:sdtPr>
                <w:rPr>
                  <w:b/>
                  <w:lang w:val="en-GB"/>
                </w:rPr>
                <w:alias w:val="Avainsanat"/>
                <w:tag w:val=""/>
                <w:id w:val="-1612584015"/>
                <w:placeholder>
                  <w:docPart w:val="1D85DEC0745A47D9B4058D3A13D46A4A"/>
                </w:placeholder>
                <w:dataBinding w:prefixMappings="xmlns:ns0='http://purl.org/dc/elements/1.1/' xmlns:ns1='http://schemas.openxmlformats.org/package/2006/metadata/core-properties' " w:xpath="/ns1:coreProperties[1]/ns1:keywords[1]" w:storeItemID="{6C3C8BC8-F283-45AE-878A-BAB7291924A1}"/>
                <w:text/>
              </w:sdtPr>
              <w:sdtEndPr/>
              <w:sdtContent>
                <w:r>
                  <w:rPr>
                    <w:b/>
                    <w:lang w:val="en-GB"/>
                  </w:rPr>
                  <w:t>8/2021</w:t>
                </w:r>
              </w:sdtContent>
            </w:sdt>
          </w:p>
        </w:tc>
        <w:tc>
          <w:tcPr>
            <w:tcW w:w="5102" w:type="dxa"/>
            <w:gridSpan w:val="4"/>
          </w:tcPr>
          <w:p w14:paraId="3D5A7277" w14:textId="77777777" w:rsidR="00F5184F" w:rsidRPr="00627B14" w:rsidRDefault="00F5184F" w:rsidP="00C14A1C">
            <w:pPr>
              <w:rPr>
                <w:rFonts w:asciiTheme="minorHAnsi" w:hAnsiTheme="minorHAnsi"/>
                <w:sz w:val="18"/>
                <w:szCs w:val="18"/>
              </w:rPr>
            </w:pPr>
          </w:p>
          <w:p w14:paraId="5F9C275A" w14:textId="6206E3B5" w:rsidR="00C14A1C" w:rsidRPr="00652133" w:rsidRDefault="00C14A1C" w:rsidP="00C14A1C">
            <w:pPr>
              <w:rPr>
                <w:rFonts w:asciiTheme="minorHAnsi" w:hAnsiTheme="minorHAnsi"/>
                <w:sz w:val="18"/>
                <w:szCs w:val="18"/>
                <w:lang w:val="fi-FI"/>
              </w:rPr>
            </w:pPr>
            <w:r w:rsidRPr="00652133">
              <w:rPr>
                <w:rFonts w:asciiTheme="minorHAnsi" w:hAnsiTheme="minorHAnsi"/>
                <w:sz w:val="18"/>
                <w:szCs w:val="18"/>
                <w:lang w:val="fi-FI"/>
              </w:rPr>
              <w:t>ISBN 978-952-311-770-9</w:t>
            </w:r>
          </w:p>
          <w:p w14:paraId="17D1FA4F" w14:textId="28A6D519" w:rsidR="00C14A1C" w:rsidRPr="00233D09" w:rsidRDefault="00C14A1C" w:rsidP="00C14A1C">
            <w:pPr>
              <w:rPr>
                <w:rFonts w:asciiTheme="minorHAnsi" w:hAnsiTheme="minorHAnsi"/>
                <w:sz w:val="18"/>
                <w:szCs w:val="18"/>
                <w:lang w:val="en-GB"/>
              </w:rPr>
            </w:pPr>
            <w:r w:rsidRPr="00652133">
              <w:rPr>
                <w:rFonts w:asciiTheme="minorHAnsi" w:hAnsiTheme="minorHAnsi"/>
                <w:sz w:val="18"/>
                <w:szCs w:val="18"/>
                <w:lang w:val="fi-FI"/>
              </w:rPr>
              <w:t>ISSN 2669-8781 (</w:t>
            </w:r>
            <w:r>
              <w:rPr>
                <w:rFonts w:asciiTheme="minorHAnsi" w:hAnsiTheme="minorHAnsi"/>
                <w:sz w:val="18"/>
                <w:szCs w:val="18"/>
                <w:lang w:val="fi-FI"/>
              </w:rPr>
              <w:t>online</w:t>
            </w:r>
            <w:r w:rsidRPr="00652133">
              <w:rPr>
                <w:rFonts w:asciiTheme="minorHAnsi" w:hAnsiTheme="minorHAnsi"/>
                <w:sz w:val="18"/>
                <w:szCs w:val="18"/>
                <w:lang w:val="fi-FI"/>
              </w:rPr>
              <w:t>)</w:t>
            </w:r>
          </w:p>
        </w:tc>
      </w:tr>
      <w:tr w:rsidR="00C14A1C" w:rsidRPr="0040610B" w14:paraId="4D30E9BB" w14:textId="77777777" w:rsidTr="00C14A1C">
        <w:tc>
          <w:tcPr>
            <w:tcW w:w="9822" w:type="dxa"/>
            <w:gridSpan w:val="5"/>
          </w:tcPr>
          <w:p w14:paraId="20254994" w14:textId="77777777" w:rsidR="00C14A1C" w:rsidRPr="00233D09" w:rsidRDefault="00C14A1C" w:rsidP="00C14A1C">
            <w:pPr>
              <w:rPr>
                <w:rFonts w:asciiTheme="minorHAnsi" w:hAnsiTheme="minorHAnsi"/>
                <w:sz w:val="16"/>
                <w:szCs w:val="16"/>
                <w:lang w:val="en-GB"/>
              </w:rPr>
            </w:pPr>
            <w:r w:rsidRPr="00233D09">
              <w:rPr>
                <w:rFonts w:asciiTheme="minorHAnsi" w:hAnsiTheme="minorHAnsi"/>
                <w:sz w:val="18"/>
                <w:lang w:val="en-GB"/>
              </w:rPr>
              <w:t>Keywords</w:t>
            </w:r>
          </w:p>
          <w:p w14:paraId="7A4BE8DA" w14:textId="51846A96" w:rsidR="00C14A1C" w:rsidRPr="00233D09" w:rsidRDefault="00C14A1C" w:rsidP="00C14A1C">
            <w:pPr>
              <w:spacing w:after="120"/>
              <w:rPr>
                <w:rFonts w:asciiTheme="minorHAnsi" w:hAnsiTheme="minorHAnsi"/>
                <w:lang w:val="en-GB"/>
              </w:rPr>
            </w:pPr>
            <w:r>
              <w:rPr>
                <w:lang w:val="en-GB"/>
              </w:rPr>
              <w:t>Effective density, agglomeration, transport system, transport projects, economic impacts</w:t>
            </w:r>
          </w:p>
        </w:tc>
      </w:tr>
      <w:tr w:rsidR="00C14A1C" w:rsidRPr="0040610B" w14:paraId="2E741638" w14:textId="77777777" w:rsidTr="00C14A1C">
        <w:trPr>
          <w:trHeight w:val="8661"/>
        </w:trPr>
        <w:tc>
          <w:tcPr>
            <w:tcW w:w="9822" w:type="dxa"/>
            <w:gridSpan w:val="5"/>
          </w:tcPr>
          <w:p w14:paraId="107A9737" w14:textId="77777777" w:rsidR="00C14A1C" w:rsidRPr="00233D09" w:rsidRDefault="00C14A1C" w:rsidP="00C14A1C">
            <w:pPr>
              <w:rPr>
                <w:rFonts w:asciiTheme="minorHAnsi" w:hAnsiTheme="minorHAnsi"/>
                <w:sz w:val="16"/>
                <w:szCs w:val="16"/>
              </w:rPr>
            </w:pPr>
            <w:r>
              <w:rPr>
                <w:rFonts w:asciiTheme="minorHAnsi" w:hAnsiTheme="minorHAnsi"/>
                <w:sz w:val="18"/>
                <w:lang w:val="en-GB"/>
              </w:rPr>
              <w:t>Abstract</w:t>
            </w:r>
          </w:p>
          <w:p w14:paraId="4A07D692" w14:textId="0E5C12E5" w:rsidR="00C14A1C" w:rsidRPr="007702A1" w:rsidRDefault="00C14A1C" w:rsidP="00C14A1C">
            <w:pPr>
              <w:pStyle w:val="BodyText"/>
              <w:spacing w:before="120"/>
              <w:ind w:left="34"/>
            </w:pPr>
            <w:r>
              <w:rPr>
                <w:lang w:val="en-GB"/>
              </w:rPr>
              <w:t xml:space="preserve">This study defined an indicator for effective density suitable for Finland. The definition of the indicator is one of the phases in the development of the assessment of agglomeration impacts and part of a research and development project focusing on the assessment of the </w:t>
            </w:r>
            <w:r w:rsidRPr="00627B14">
              <w:rPr>
                <w:lang w:val="en-GB"/>
              </w:rPr>
              <w:t>wider</w:t>
            </w:r>
            <w:r w:rsidR="008F5685" w:rsidRPr="00627B14">
              <w:rPr>
                <w:lang w:val="en-GB"/>
              </w:rPr>
              <w:t xml:space="preserve"> economic</w:t>
            </w:r>
            <w:r w:rsidRPr="00627B14">
              <w:rPr>
                <w:lang w:val="en-GB"/>
              </w:rPr>
              <w:t xml:space="preserve"> impacts of the transport system. The study included a review of relevant research literature, the definition of an indicator for effective density, the estimation of parameters using transport research data and the testing of the indicator. </w:t>
            </w:r>
            <w:r>
              <w:rPr>
                <w:lang w:val="en-GB"/>
              </w:rPr>
              <w:t xml:space="preserve">In addition to this, a preliminary plan is presented for the next phase of the research and development work, which will be the estimation of output elasticities. </w:t>
            </w:r>
          </w:p>
          <w:p w14:paraId="29BF84B8" w14:textId="77777777" w:rsidR="00C14A1C" w:rsidRPr="007702A1" w:rsidRDefault="00C14A1C" w:rsidP="00C14A1C">
            <w:pPr>
              <w:pStyle w:val="BodyText"/>
              <w:ind w:left="32"/>
            </w:pPr>
            <w:r>
              <w:rPr>
                <w:lang w:val="en-GB"/>
              </w:rPr>
              <w:t xml:space="preserve">According to studies, the best method for describing agglomeration is effective density. Issues that need to be resolved in the definition of an indicator for effective density are the definition of the catchment area, the attribute for economic mass, the measure of distance and the impact of distance (decay). The catchment area should be defined as precisely as possible when calculating effective density, as agglomeration impacts decay rapidly with distance. Economic mass is defined generally based on the number of jobs. The recommended measure of distance is generalised cost for travel. The choice of decay rate is an empirical question of which form best corresponds to observations. The assessment of agglomeration impacts has been officially incorporated into the assessment of the wider economic impacts of infrastructure projects in the United Kingdom and based on the same model in some other countries. However, agglomeration and its assessment are still subject to ongoing research in the United Kingdom. </w:t>
            </w:r>
          </w:p>
          <w:p w14:paraId="33534CFA" w14:textId="77777777" w:rsidR="00C14A1C" w:rsidRPr="00F5184F" w:rsidRDefault="00C14A1C" w:rsidP="00C14A1C">
            <w:pPr>
              <w:pStyle w:val="BodyText"/>
              <w:ind w:left="32"/>
            </w:pPr>
            <w:r>
              <w:rPr>
                <w:lang w:val="en-GB"/>
              </w:rPr>
              <w:t xml:space="preserve">The indicator for effective density recommended for Finland is a model that differentiates industry groups, the factors of which are the generalised cost for work-related travel emphasising the relative shares of different modes of transport, the number of jobs in the area, the estimated decay parameter and industry group specific coefficients. Effective density is defined for a precisely defined catchment area and extended, if necessary, to a larger catchment area in relation to </w:t>
            </w:r>
            <w:r w:rsidRPr="00F5184F">
              <w:rPr>
                <w:lang w:val="en-GB"/>
              </w:rPr>
              <w:t xml:space="preserve">the number of jobs. </w:t>
            </w:r>
          </w:p>
          <w:p w14:paraId="196F649A" w14:textId="11C5E508" w:rsidR="00C14A1C" w:rsidRPr="00C14A1C" w:rsidRDefault="00C14A1C" w:rsidP="00C14A1C">
            <w:pPr>
              <w:pStyle w:val="BodyText"/>
              <w:ind w:left="32"/>
              <w:rPr>
                <w:lang w:val="en-GB"/>
              </w:rPr>
            </w:pPr>
            <w:r w:rsidRPr="00F5184F">
              <w:rPr>
                <w:lang w:val="en-GB"/>
              </w:rPr>
              <w:t>The next step of the research and development project focusing on the assessment of agglomeration impacts will be the definition of industry-specific output elasticities via the estimation of an output function. The estimation of the output function should preferably be carried out not only in the Helsinki region, but in the Turku region</w:t>
            </w:r>
            <w:r w:rsidR="00F05F7B" w:rsidRPr="00F5184F">
              <w:rPr>
                <w:lang w:val="en-GB"/>
              </w:rPr>
              <w:t>, for example,</w:t>
            </w:r>
            <w:r w:rsidRPr="00F5184F">
              <w:rPr>
                <w:lang w:val="en-GB"/>
              </w:rPr>
              <w:t xml:space="preserve"> and at the national level as well to determine regional differences. The project should include a sensitivity analysis of the decay parameter and examine the impacts that changes in the generalised cost of different modes of transport have on output.</w:t>
            </w:r>
            <w:r>
              <w:rPr>
                <w:lang w:val="en-GB"/>
              </w:rPr>
              <w:t xml:space="preserve"> </w:t>
            </w:r>
          </w:p>
          <w:p w14:paraId="1A9A59CF" w14:textId="63D6A98D" w:rsidR="00C14A1C" w:rsidRPr="00C14A1C" w:rsidRDefault="00C14A1C" w:rsidP="00C14A1C">
            <w:pPr>
              <w:pStyle w:val="BodyText"/>
              <w:ind w:left="32"/>
            </w:pPr>
            <w:r>
              <w:rPr>
                <w:lang w:val="en-GB"/>
              </w:rPr>
              <w:t>Alongside this research, agglomeration impacts are examined in accordance with the Ministry of Transport and Communications’ examination framework with the help of changes in the generalised cost for work-related travel and primarily qualitatively. The aim of the development of agglomeration impact assessment is to incorporate the method and its applications into the assessment guidelines for transport and land use planning.</w:t>
            </w:r>
          </w:p>
        </w:tc>
      </w:tr>
      <w:tr w:rsidR="00BE5EC4" w:rsidRPr="00233D09" w14:paraId="7228B0D4" w14:textId="77777777" w:rsidTr="007E4C69">
        <w:trPr>
          <w:trHeight w:val="567"/>
        </w:trPr>
        <w:tc>
          <w:tcPr>
            <w:tcW w:w="4720" w:type="dxa"/>
          </w:tcPr>
          <w:p w14:paraId="368528C7" w14:textId="77777777" w:rsidR="00BE5EC4" w:rsidRPr="00233D09" w:rsidRDefault="00BE5EC4" w:rsidP="007E4C69">
            <w:pPr>
              <w:rPr>
                <w:rFonts w:asciiTheme="minorHAnsi" w:hAnsiTheme="minorHAnsi"/>
                <w:sz w:val="18"/>
                <w:lang w:val="en-GB"/>
              </w:rPr>
            </w:pPr>
            <w:r w:rsidRPr="00233D09">
              <w:rPr>
                <w:rFonts w:asciiTheme="minorHAnsi" w:hAnsiTheme="minorHAnsi"/>
                <w:sz w:val="18"/>
                <w:lang w:val="en-GB"/>
              </w:rPr>
              <w:t>Contact person</w:t>
            </w:r>
          </w:p>
          <w:p w14:paraId="2D7A2A3E" w14:textId="1935E79F" w:rsidR="00BE5EC4" w:rsidRPr="00233D09" w:rsidRDefault="00C14A1C" w:rsidP="007E4C69">
            <w:pPr>
              <w:rPr>
                <w:rFonts w:asciiTheme="minorHAnsi" w:hAnsiTheme="minorHAnsi"/>
                <w:lang w:val="en-GB"/>
              </w:rPr>
            </w:pPr>
            <w:r>
              <w:rPr>
                <w:lang w:val="en-GB"/>
              </w:rPr>
              <w:t>Tuomo Suvanto</w:t>
            </w:r>
          </w:p>
        </w:tc>
        <w:tc>
          <w:tcPr>
            <w:tcW w:w="1417" w:type="dxa"/>
          </w:tcPr>
          <w:p w14:paraId="42B35F18" w14:textId="29B0F9E2" w:rsidR="00BE5EC4" w:rsidRPr="00233D09" w:rsidRDefault="00BE5EC4" w:rsidP="007E4C69">
            <w:pPr>
              <w:rPr>
                <w:rFonts w:asciiTheme="minorHAnsi" w:hAnsiTheme="minorHAnsi"/>
                <w:sz w:val="16"/>
                <w:lang w:val="en-GB"/>
              </w:rPr>
            </w:pPr>
            <w:r w:rsidRPr="00233D09">
              <w:rPr>
                <w:rFonts w:asciiTheme="minorHAnsi" w:hAnsiTheme="minorHAnsi"/>
                <w:sz w:val="18"/>
                <w:lang w:val="en-GB"/>
              </w:rPr>
              <w:t>Language</w:t>
            </w:r>
            <w:r w:rsidRPr="00233D09">
              <w:rPr>
                <w:rFonts w:asciiTheme="minorHAnsi" w:hAnsiTheme="minorHAnsi"/>
                <w:sz w:val="16"/>
                <w:szCs w:val="16"/>
                <w:lang w:val="en-GB"/>
              </w:rPr>
              <w:t xml:space="preserve"> </w:t>
            </w:r>
            <w:r w:rsidR="00C14A1C">
              <w:rPr>
                <w:rFonts w:asciiTheme="minorHAnsi" w:hAnsiTheme="minorHAnsi"/>
                <w:sz w:val="16"/>
                <w:szCs w:val="16"/>
                <w:lang w:val="en-GB"/>
              </w:rPr>
              <w:t>Finnish</w:t>
            </w:r>
          </w:p>
        </w:tc>
        <w:tc>
          <w:tcPr>
            <w:tcW w:w="1843" w:type="dxa"/>
            <w:gridSpan w:val="2"/>
          </w:tcPr>
          <w:p w14:paraId="7653FC00" w14:textId="4EEC1890" w:rsidR="00BE5EC4" w:rsidRPr="00233D09" w:rsidRDefault="00BE5EC4" w:rsidP="007E4C69">
            <w:pPr>
              <w:rPr>
                <w:rFonts w:asciiTheme="minorHAnsi" w:hAnsiTheme="minorHAnsi"/>
                <w:sz w:val="16"/>
                <w:lang w:val="en-GB"/>
              </w:rPr>
            </w:pPr>
            <w:r w:rsidRPr="00233D09">
              <w:rPr>
                <w:rFonts w:asciiTheme="minorHAnsi" w:hAnsiTheme="minorHAnsi"/>
                <w:sz w:val="18"/>
                <w:lang w:val="en-GB"/>
              </w:rPr>
              <w:t>Confidence status</w:t>
            </w:r>
            <w:r w:rsidRPr="00233D09">
              <w:rPr>
                <w:rFonts w:asciiTheme="minorHAnsi" w:hAnsiTheme="minorHAnsi"/>
                <w:sz w:val="16"/>
                <w:lang w:val="en-GB"/>
              </w:rPr>
              <w:t xml:space="preserve"> </w:t>
            </w:r>
            <w:r w:rsidR="00C14A1C">
              <w:rPr>
                <w:lang w:val="en-GB"/>
              </w:rPr>
              <w:t>Public</w:t>
            </w:r>
          </w:p>
        </w:tc>
        <w:tc>
          <w:tcPr>
            <w:tcW w:w="1842" w:type="dxa"/>
          </w:tcPr>
          <w:p w14:paraId="0EF77581" w14:textId="77777777" w:rsidR="00BE5EC4" w:rsidRPr="00233D09" w:rsidRDefault="00BE5EC4" w:rsidP="007E4C69">
            <w:pPr>
              <w:rPr>
                <w:rFonts w:asciiTheme="minorHAnsi" w:hAnsiTheme="minorHAnsi"/>
                <w:sz w:val="18"/>
                <w:lang w:val="en-GB"/>
              </w:rPr>
            </w:pPr>
            <w:r w:rsidRPr="00233D09">
              <w:rPr>
                <w:rFonts w:asciiTheme="minorHAnsi" w:hAnsiTheme="minorHAnsi"/>
                <w:sz w:val="18"/>
                <w:lang w:val="en-GB"/>
              </w:rPr>
              <w:t>Pages, total</w:t>
            </w:r>
          </w:p>
          <w:p w14:paraId="46637FC0" w14:textId="34C75FC4" w:rsidR="00BE5EC4" w:rsidRPr="00233D09" w:rsidRDefault="00C14A1C" w:rsidP="007E4C69">
            <w:pPr>
              <w:rPr>
                <w:rFonts w:asciiTheme="minorHAnsi" w:hAnsiTheme="minorHAnsi"/>
                <w:lang w:val="en-GB"/>
              </w:rPr>
            </w:pPr>
            <w:r>
              <w:rPr>
                <w:lang w:val="en-GB"/>
              </w:rPr>
              <w:t>4</w:t>
            </w:r>
            <w:r w:rsidR="00F214CB">
              <w:rPr>
                <w:lang w:val="en-GB"/>
              </w:rPr>
              <w:t>0</w:t>
            </w:r>
            <w:r>
              <w:rPr>
                <w:lang w:val="en-GB"/>
              </w:rPr>
              <w:t>+2</w:t>
            </w:r>
          </w:p>
        </w:tc>
      </w:tr>
      <w:tr w:rsidR="00C14A1C" w:rsidRPr="0040610B" w14:paraId="4BA4F46A" w14:textId="77777777" w:rsidTr="00C14A1C">
        <w:trPr>
          <w:trHeight w:val="333"/>
        </w:trPr>
        <w:tc>
          <w:tcPr>
            <w:tcW w:w="4720" w:type="dxa"/>
          </w:tcPr>
          <w:p w14:paraId="74DD833E" w14:textId="77777777" w:rsidR="00C14A1C" w:rsidRDefault="00C14A1C" w:rsidP="00C14A1C">
            <w:pPr>
              <w:rPr>
                <w:rFonts w:asciiTheme="minorHAnsi" w:hAnsiTheme="minorHAnsi"/>
                <w:sz w:val="18"/>
                <w:lang w:val="en-GB"/>
              </w:rPr>
            </w:pPr>
            <w:r w:rsidRPr="00233D09">
              <w:rPr>
                <w:rFonts w:asciiTheme="minorHAnsi" w:hAnsiTheme="minorHAnsi"/>
                <w:sz w:val="18"/>
                <w:lang w:val="en-GB"/>
              </w:rPr>
              <w:t>Published</w:t>
            </w:r>
            <w:r w:rsidRPr="00233D09">
              <w:rPr>
                <w:rFonts w:asciiTheme="minorHAnsi" w:hAnsiTheme="minorHAnsi"/>
                <w:lang w:val="en-GB"/>
              </w:rPr>
              <w:t xml:space="preserve"> </w:t>
            </w:r>
            <w:r w:rsidRPr="00233D09">
              <w:rPr>
                <w:rFonts w:asciiTheme="minorHAnsi" w:hAnsiTheme="minorHAnsi"/>
                <w:sz w:val="18"/>
                <w:lang w:val="en-GB"/>
              </w:rPr>
              <w:t>by</w:t>
            </w:r>
            <w:r>
              <w:rPr>
                <w:rFonts w:asciiTheme="minorHAnsi" w:hAnsiTheme="minorHAnsi"/>
                <w:sz w:val="18"/>
                <w:lang w:val="en-GB"/>
              </w:rPr>
              <w:t xml:space="preserve"> </w:t>
            </w:r>
          </w:p>
          <w:p w14:paraId="1E14AB2E" w14:textId="7100CCAB" w:rsidR="00C14A1C" w:rsidRPr="00233D09" w:rsidRDefault="00C14A1C" w:rsidP="00C14A1C">
            <w:pPr>
              <w:rPr>
                <w:rFonts w:asciiTheme="minorHAnsi" w:hAnsiTheme="minorHAnsi"/>
                <w:sz w:val="16"/>
                <w:lang w:val="en-GB"/>
              </w:rPr>
            </w:pPr>
            <w:r>
              <w:rPr>
                <w:lang w:val="en-GB"/>
              </w:rPr>
              <w:t>Finnish Transport and Communications Agency</w:t>
            </w:r>
          </w:p>
        </w:tc>
        <w:tc>
          <w:tcPr>
            <w:tcW w:w="5102" w:type="dxa"/>
            <w:gridSpan w:val="4"/>
          </w:tcPr>
          <w:p w14:paraId="14F1DB9A" w14:textId="77777777" w:rsidR="00C14A1C" w:rsidRDefault="00C14A1C" w:rsidP="00C14A1C">
            <w:pPr>
              <w:rPr>
                <w:rFonts w:asciiTheme="minorHAnsi" w:hAnsiTheme="minorHAnsi"/>
                <w:sz w:val="18"/>
                <w:lang w:val="en-GB"/>
              </w:rPr>
            </w:pPr>
            <w:r w:rsidRPr="00233D09">
              <w:rPr>
                <w:rFonts w:asciiTheme="minorHAnsi" w:hAnsiTheme="minorHAnsi"/>
                <w:sz w:val="18"/>
                <w:lang w:val="en-GB"/>
              </w:rPr>
              <w:t>Published</w:t>
            </w:r>
            <w:r w:rsidRPr="00233D09">
              <w:rPr>
                <w:rFonts w:asciiTheme="minorHAnsi" w:hAnsiTheme="minorHAnsi"/>
                <w:lang w:val="en-GB"/>
              </w:rPr>
              <w:t xml:space="preserve"> </w:t>
            </w:r>
            <w:r w:rsidRPr="00233D09">
              <w:rPr>
                <w:rFonts w:asciiTheme="minorHAnsi" w:hAnsiTheme="minorHAnsi"/>
                <w:sz w:val="18"/>
                <w:lang w:val="en-GB"/>
              </w:rPr>
              <w:t>by</w:t>
            </w:r>
            <w:r>
              <w:rPr>
                <w:rFonts w:asciiTheme="minorHAnsi" w:hAnsiTheme="minorHAnsi"/>
                <w:sz w:val="18"/>
                <w:lang w:val="en-GB"/>
              </w:rPr>
              <w:t xml:space="preserve"> </w:t>
            </w:r>
          </w:p>
          <w:p w14:paraId="51D0A05D" w14:textId="3DFFAF38" w:rsidR="00C14A1C" w:rsidRPr="00233D09" w:rsidRDefault="00C14A1C" w:rsidP="00C14A1C">
            <w:pPr>
              <w:rPr>
                <w:rFonts w:asciiTheme="minorHAnsi" w:hAnsiTheme="minorHAnsi"/>
                <w:sz w:val="16"/>
                <w:lang w:val="en-GB"/>
              </w:rPr>
            </w:pPr>
            <w:r>
              <w:rPr>
                <w:lang w:val="en-GB"/>
              </w:rPr>
              <w:t>Finnish Transport and Communications Agency</w:t>
            </w:r>
          </w:p>
        </w:tc>
      </w:tr>
    </w:tbl>
    <w:p w14:paraId="12415E2D" w14:textId="77777777" w:rsidR="00BE5EC4" w:rsidRPr="00233D09" w:rsidRDefault="00BE5EC4" w:rsidP="00BE5EC4">
      <w:pPr>
        <w:rPr>
          <w:lang w:val="en-GB"/>
        </w:rPr>
      </w:pPr>
    </w:p>
    <w:p w14:paraId="10B7E8ED" w14:textId="61B8EF0C" w:rsidR="00D577E9" w:rsidRPr="00C14A1C" w:rsidRDefault="00D577E9" w:rsidP="00D577E9">
      <w:pPr>
        <w:rPr>
          <w:lang w:val="en-US"/>
        </w:rPr>
      </w:pPr>
    </w:p>
    <w:p w14:paraId="7A6F8F74" w14:textId="77777777" w:rsidR="00D577E9" w:rsidRPr="00F369C7" w:rsidRDefault="00D577E9" w:rsidP="00D577E9">
      <w:pPr>
        <w:pStyle w:val="Title"/>
        <w:rPr>
          <w:rFonts w:asciiTheme="minorHAnsi" w:hAnsiTheme="minorHAnsi"/>
        </w:rPr>
      </w:pPr>
      <w:r w:rsidRPr="00F369C7">
        <w:rPr>
          <w:rFonts w:asciiTheme="minorHAnsi" w:hAnsiTheme="minorHAnsi"/>
        </w:rPr>
        <w:t>ALKUSANAT</w:t>
      </w:r>
    </w:p>
    <w:p w14:paraId="2C8D6C3C" w14:textId="2ADA4AA3" w:rsidR="0030534A" w:rsidRDefault="00F7501D" w:rsidP="00F7501D">
      <w:pPr>
        <w:pStyle w:val="BodyText"/>
      </w:pPr>
      <w:r>
        <w:t>Liikenne- ja viestintäministeriö</w:t>
      </w:r>
      <w:r w:rsidR="0030534A">
        <w:t>n hallinnonala</w:t>
      </w:r>
      <w:r>
        <w:t xml:space="preserve"> on edistänyt liikennejärjestelmän laajempien taloudellisten vaikutusten </w:t>
      </w:r>
      <w:r w:rsidR="0030534A">
        <w:t xml:space="preserve">arviointia useassa eri tutkimuksessa ja selvityksessä. Laajempien taloudellisten vaikutusten kehikkoon kuuluvat kasautuminen, työmarkkinat, kiinteistömarkkinat ja aluetalous kokonaisuutena. </w:t>
      </w:r>
    </w:p>
    <w:p w14:paraId="0D6CCB15" w14:textId="629130F8" w:rsidR="00A738EB" w:rsidRDefault="0030534A" w:rsidP="00F7501D">
      <w:pPr>
        <w:pStyle w:val="BodyText"/>
      </w:pPr>
      <w:r>
        <w:t xml:space="preserve">Tämän selvityksen tavoitteena on </w:t>
      </w:r>
      <w:r w:rsidR="00A738EB">
        <w:t xml:space="preserve">ollut </w:t>
      </w:r>
      <w:r>
        <w:t xml:space="preserve">määritellä Suomeen soveltuva tehokkaan tiheyden mittari. Työ on jatkoselvitys vuonna 2020 valmistuneelle kasautumisvaikutusten esiselvitykselle. Selvitys on toteutettu </w:t>
      </w:r>
      <w:r w:rsidR="00A738EB">
        <w:t xml:space="preserve">Liikenne- ja viestintävirasto </w:t>
      </w:r>
      <w:r>
        <w:t xml:space="preserve">Traficomin toimeksiannosta Ramboll Finland Oy:n ja Elinkeinoelämän tutkimuslaitoksen yhteistyönä. </w:t>
      </w:r>
    </w:p>
    <w:p w14:paraId="13D879CE" w14:textId="2F189C93" w:rsidR="0030534A" w:rsidRDefault="0030534A" w:rsidP="00F7501D">
      <w:pPr>
        <w:pStyle w:val="BodyText"/>
      </w:pPr>
      <w:r>
        <w:t xml:space="preserve">Selvityksen ohjausryhmään ovat kuuluneet Tuomo Suvanto (pj.), Hannu Kuikka, </w:t>
      </w:r>
      <w:r w:rsidR="00A738EB">
        <w:t xml:space="preserve">Taru Pakkanen, </w:t>
      </w:r>
      <w:r>
        <w:t>Virpi Pastinen</w:t>
      </w:r>
      <w:r w:rsidR="00A738EB">
        <w:t xml:space="preserve"> ja</w:t>
      </w:r>
      <w:r>
        <w:t xml:space="preserve"> </w:t>
      </w:r>
      <w:r w:rsidR="00A738EB">
        <w:t xml:space="preserve">Anna </w:t>
      </w:r>
      <w:r w:rsidR="00A738EB" w:rsidRPr="00C17023">
        <w:t xml:space="preserve">Pätynen </w:t>
      </w:r>
      <w:r w:rsidR="00B53DDE" w:rsidRPr="00C17023">
        <w:t>Liikenne- ja vies</w:t>
      </w:r>
      <w:r w:rsidR="00A34EB9" w:rsidRPr="00C17023">
        <w:t>tin</w:t>
      </w:r>
      <w:r w:rsidR="00B53DDE" w:rsidRPr="00C17023">
        <w:t xml:space="preserve">tävirasto </w:t>
      </w:r>
      <w:r w:rsidR="00A738EB" w:rsidRPr="00C17023">
        <w:t>Traficomista, Taneli Antikainen Väylävirastosta sekä Lauri Vuorio Helsingin seudun liikenne -kuntayhtymästä. Ohjausryhmään kokouksiin on osallistunut myös Niko-Matti Ronikonmäki liikenne- ja viestintäministeriöstä. Selvitystyön ovat tehneet Heikki Metsäranta ja Petri Blomqvist Ramboll Finland Oy:stä sekä Krista Riukula ja Antti Kauhanen Elinkeinoelämän tutkimuslaitoksesta.</w:t>
      </w:r>
    </w:p>
    <w:p w14:paraId="1B66BC34" w14:textId="2F836D45" w:rsidR="00D577E9" w:rsidRPr="00F369C7" w:rsidRDefault="00D577E9" w:rsidP="00D577E9">
      <w:pPr>
        <w:pStyle w:val="BodyText"/>
      </w:pPr>
      <w:r w:rsidRPr="00F369C7">
        <w:t xml:space="preserve">Helsingissä, </w:t>
      </w:r>
      <w:r w:rsidR="00F5184F">
        <w:t>5</w:t>
      </w:r>
      <w:r w:rsidRPr="00F369C7">
        <w:t xml:space="preserve">. </w:t>
      </w:r>
      <w:r w:rsidR="00FC1267">
        <w:t>elo</w:t>
      </w:r>
      <w:r w:rsidRPr="00F369C7">
        <w:t>kuuta 20</w:t>
      </w:r>
      <w:r w:rsidR="00DC2277">
        <w:t>21</w:t>
      </w:r>
    </w:p>
    <w:p w14:paraId="4F4EC8B8" w14:textId="38A7BD92" w:rsidR="00D577E9" w:rsidRPr="00F369C7" w:rsidRDefault="00DC2277" w:rsidP="00D577E9">
      <w:pPr>
        <w:pStyle w:val="NoSpacing"/>
      </w:pPr>
      <w:r>
        <w:t>Tuomo Suvanto</w:t>
      </w:r>
    </w:p>
    <w:p w14:paraId="1E2DBD16" w14:textId="2E2031F2" w:rsidR="00D577E9" w:rsidRDefault="00CD41CD" w:rsidP="00D577E9">
      <w:pPr>
        <w:pStyle w:val="NoSpacing"/>
      </w:pPr>
      <w:r>
        <w:t>Johtava asiantuntija</w:t>
      </w:r>
    </w:p>
    <w:p w14:paraId="26B11BFE" w14:textId="77777777" w:rsidR="00FC1267" w:rsidRPr="00F369C7" w:rsidRDefault="00FC1267" w:rsidP="00D577E9">
      <w:pPr>
        <w:pStyle w:val="NoSpacing"/>
      </w:pPr>
    </w:p>
    <w:p w14:paraId="5BBBBAF9" w14:textId="77777777" w:rsidR="00D577E9" w:rsidRPr="00627B14" w:rsidRDefault="00D577E9" w:rsidP="00B7185A">
      <w:pPr>
        <w:pStyle w:val="NoSpacing"/>
        <w:rPr>
          <w:lang w:val="sv-FI"/>
        </w:rPr>
      </w:pPr>
      <w:r w:rsidRPr="00627B14">
        <w:rPr>
          <w:lang w:val="sv-FI"/>
        </w:rPr>
        <w:t>Liikenne- ja viestintävirasto Traficom</w:t>
      </w:r>
    </w:p>
    <w:p w14:paraId="57049616" w14:textId="77777777" w:rsidR="00BB6606" w:rsidRPr="00627B14" w:rsidRDefault="00BB6606" w:rsidP="00B7185A">
      <w:pPr>
        <w:pStyle w:val="NoSpacing"/>
        <w:rPr>
          <w:lang w:val="sv-FI"/>
        </w:rPr>
      </w:pPr>
    </w:p>
    <w:p w14:paraId="65FEA806" w14:textId="77777777" w:rsidR="00BB6606" w:rsidRPr="00627B14" w:rsidRDefault="00BB6606" w:rsidP="00BB6606">
      <w:pPr>
        <w:pStyle w:val="NoSpacing"/>
        <w:ind w:left="0"/>
        <w:rPr>
          <w:rFonts w:eastAsiaTheme="majorEastAsia" w:cstheme="majorHAnsi"/>
          <w:b/>
          <w:kern w:val="22"/>
          <w:sz w:val="30"/>
          <w:szCs w:val="52"/>
          <w:lang w:val="sv-FI"/>
        </w:rPr>
      </w:pPr>
      <w:r w:rsidRPr="00627B14">
        <w:rPr>
          <w:rFonts w:eastAsiaTheme="majorEastAsia" w:cstheme="majorHAnsi"/>
          <w:b/>
          <w:kern w:val="22"/>
          <w:sz w:val="30"/>
          <w:szCs w:val="52"/>
          <w:lang w:val="sv-FI"/>
        </w:rPr>
        <w:t>FÖRORD</w:t>
      </w:r>
    </w:p>
    <w:p w14:paraId="7580ECCE" w14:textId="77777777" w:rsidR="00BB6606" w:rsidRPr="00627B14" w:rsidRDefault="00BB6606" w:rsidP="00BB6606">
      <w:pPr>
        <w:pStyle w:val="NoSpacing"/>
        <w:rPr>
          <w:lang w:val="sv-FI"/>
        </w:rPr>
      </w:pPr>
    </w:p>
    <w:p w14:paraId="6C11A52C" w14:textId="0106DB08" w:rsidR="004C2A6C" w:rsidRPr="00F5184F" w:rsidRDefault="004C2A6C" w:rsidP="004C2A6C">
      <w:pPr>
        <w:pStyle w:val="BodyText"/>
        <w:rPr>
          <w:rStyle w:val="y2iqfc"/>
          <w:lang w:val="sv-FI"/>
        </w:rPr>
      </w:pPr>
      <w:r w:rsidRPr="00F5184F">
        <w:rPr>
          <w:rStyle w:val="y2iqfc"/>
          <w:lang w:val="sv-FI"/>
        </w:rPr>
        <w:t xml:space="preserve">Ministeriet för transport och kommunikation i Finland har bidragit till bedömningen av de bredare ekonomiska effekterna av transportsystemet i flera olika studier och undersökningar. Ramarna för de </w:t>
      </w:r>
      <w:r w:rsidR="00FC1267" w:rsidRPr="00F5184F">
        <w:rPr>
          <w:rStyle w:val="y2iqfc"/>
          <w:lang w:val="sv-FI"/>
        </w:rPr>
        <w:t>bredare</w:t>
      </w:r>
      <w:r w:rsidRPr="00F5184F">
        <w:rPr>
          <w:rStyle w:val="y2iqfc"/>
          <w:lang w:val="sv-FI"/>
        </w:rPr>
        <w:t xml:space="preserve"> ekonomiska effekterna inkluderar </w:t>
      </w:r>
      <w:r w:rsidR="00FC1267" w:rsidRPr="00F5184F">
        <w:rPr>
          <w:rStyle w:val="y2iqfc"/>
          <w:lang w:val="sv-FI"/>
        </w:rPr>
        <w:t>agglomeration</w:t>
      </w:r>
      <w:r w:rsidRPr="00F5184F">
        <w:rPr>
          <w:rStyle w:val="y2iqfc"/>
          <w:lang w:val="sv-FI"/>
        </w:rPr>
        <w:t>, arbetsmarknaden, fastighetsmarknaden och den regionala ekonomin som helhet.</w:t>
      </w:r>
    </w:p>
    <w:p w14:paraId="7BFA6E5C" w14:textId="0601D9A9" w:rsidR="004C2A6C" w:rsidRPr="00F5184F" w:rsidRDefault="004C2A6C" w:rsidP="004C2A6C">
      <w:pPr>
        <w:pStyle w:val="BodyText"/>
        <w:rPr>
          <w:rStyle w:val="y2iqfc"/>
          <w:lang w:val="sv-FI"/>
        </w:rPr>
      </w:pPr>
      <w:r w:rsidRPr="00F5184F">
        <w:rPr>
          <w:rStyle w:val="y2iqfc"/>
          <w:lang w:val="sv-FI"/>
        </w:rPr>
        <w:t xml:space="preserve">Syftet med denna studie har varit att definiera </w:t>
      </w:r>
      <w:r w:rsidR="00FC1267" w:rsidRPr="00F5184F">
        <w:rPr>
          <w:rStyle w:val="y2iqfc"/>
          <w:lang w:val="sv-FI"/>
        </w:rPr>
        <w:t>måttet for</w:t>
      </w:r>
      <w:r w:rsidRPr="00F5184F">
        <w:rPr>
          <w:rStyle w:val="y2iqfc"/>
          <w:lang w:val="sv-FI"/>
        </w:rPr>
        <w:t xml:space="preserve"> effektivt densitet</w:t>
      </w:r>
      <w:r w:rsidR="00FC1267" w:rsidRPr="00F5184F">
        <w:rPr>
          <w:rStyle w:val="y2iqfc"/>
          <w:lang w:val="sv-FI"/>
        </w:rPr>
        <w:t xml:space="preserve"> </w:t>
      </w:r>
      <w:r w:rsidRPr="00F5184F">
        <w:rPr>
          <w:rStyle w:val="y2iqfc"/>
          <w:lang w:val="sv-FI"/>
        </w:rPr>
        <w:t xml:space="preserve">som är lämpligt för Finland. Arbetet är en uppföljningsstudie av den preliminära studien av </w:t>
      </w:r>
      <w:r w:rsidR="00FC1267" w:rsidRPr="00F5184F">
        <w:rPr>
          <w:rStyle w:val="y2iqfc"/>
          <w:lang w:val="sv-FI"/>
        </w:rPr>
        <w:t>agglomeration</w:t>
      </w:r>
      <w:r w:rsidRPr="00F5184F">
        <w:rPr>
          <w:rStyle w:val="y2iqfc"/>
          <w:lang w:val="sv-FI"/>
        </w:rPr>
        <w:t xml:space="preserve"> som slutfördes 2020. Studien beställdes av Traficom i samarbete mellan Ramboll Finland Oy och </w:t>
      </w:r>
      <w:r w:rsidR="00B9537A" w:rsidRPr="00F5184F">
        <w:rPr>
          <w:lang w:val="sv-FI"/>
        </w:rPr>
        <w:t>Näringslivets forskningsinstitut</w:t>
      </w:r>
      <w:r w:rsidRPr="00F5184F">
        <w:rPr>
          <w:rStyle w:val="y2iqfc"/>
          <w:lang w:val="sv-FI"/>
        </w:rPr>
        <w:t>.</w:t>
      </w:r>
    </w:p>
    <w:p w14:paraId="5168B67B" w14:textId="1007DBA6" w:rsidR="004C2A6C" w:rsidRPr="00F5184F" w:rsidRDefault="004C2A6C" w:rsidP="004C2A6C">
      <w:pPr>
        <w:pStyle w:val="BodyText"/>
        <w:rPr>
          <w:lang w:val="sv-FI"/>
        </w:rPr>
      </w:pPr>
      <w:r w:rsidRPr="00F5184F">
        <w:rPr>
          <w:rStyle w:val="y2iqfc"/>
          <w:lang w:val="sv-FI"/>
        </w:rPr>
        <w:t xml:space="preserve">Studiens styrgrupp har inkluderat Tuomo Suvanto (ordförande), Hannu Kuikka, Taru Pakkanen, Virpi Pastinen och Anna Pätynen från Finlands Transport- och kommunikationsbyrå, Taneli Antikainen från Transportinfrastrukturverket och Lauri Vuorio från Helsingforsregionens transport Auktoritet. Niko-Matti Ronikonmäki från transport- och kommunikationsministeriet har också deltagit i styrgruppsmötena. Studien genomfördes av Heikki Metsäranta och Petri Blomqvist från Ramboll Finland och Krista Riukula och Antti Kauhanen från </w:t>
      </w:r>
      <w:r w:rsidR="00B9537A" w:rsidRPr="00F5184F">
        <w:rPr>
          <w:lang w:val="sv-FI"/>
        </w:rPr>
        <w:t>Näringslivets forskningsinstitut</w:t>
      </w:r>
      <w:r w:rsidRPr="00F5184F">
        <w:rPr>
          <w:rStyle w:val="y2iqfc"/>
          <w:lang w:val="sv-FI"/>
        </w:rPr>
        <w:t>.</w:t>
      </w:r>
    </w:p>
    <w:p w14:paraId="01656232" w14:textId="77777777" w:rsidR="00BB6606" w:rsidRPr="00F5184F" w:rsidRDefault="00BB6606" w:rsidP="00BB6606">
      <w:pPr>
        <w:pStyle w:val="NoSpacing"/>
        <w:rPr>
          <w:lang w:val="sv-FI"/>
        </w:rPr>
      </w:pPr>
    </w:p>
    <w:p w14:paraId="2974BF34" w14:textId="35CFF991" w:rsidR="00BB6606" w:rsidRPr="00F5184F" w:rsidRDefault="00BB6606" w:rsidP="00BB6606">
      <w:pPr>
        <w:pStyle w:val="NoSpacing"/>
        <w:rPr>
          <w:lang w:val="sv-FI"/>
        </w:rPr>
      </w:pPr>
      <w:r w:rsidRPr="00F5184F">
        <w:rPr>
          <w:lang w:val="sv-FI"/>
        </w:rPr>
        <w:t xml:space="preserve">Helsingfors, den </w:t>
      </w:r>
      <w:r w:rsidR="00F5184F" w:rsidRPr="00F5184F">
        <w:rPr>
          <w:lang w:val="sv-FI"/>
        </w:rPr>
        <w:t>5</w:t>
      </w:r>
      <w:r w:rsidRPr="00F5184F">
        <w:rPr>
          <w:lang w:val="sv-FI"/>
        </w:rPr>
        <w:t xml:space="preserve"> </w:t>
      </w:r>
      <w:r w:rsidR="00F5184F">
        <w:rPr>
          <w:lang w:val="sv-FI"/>
        </w:rPr>
        <w:t>a</w:t>
      </w:r>
      <w:r w:rsidR="00FC1267" w:rsidRPr="00F5184F">
        <w:rPr>
          <w:lang w:val="sv-FI"/>
        </w:rPr>
        <w:t>ugust</w:t>
      </w:r>
      <w:r w:rsidR="00F5184F">
        <w:rPr>
          <w:lang w:val="sv-FI"/>
        </w:rPr>
        <w:t>i</w:t>
      </w:r>
      <w:r w:rsidRPr="00F5184F">
        <w:rPr>
          <w:lang w:val="sv-FI"/>
        </w:rPr>
        <w:t xml:space="preserve"> 20</w:t>
      </w:r>
      <w:r w:rsidR="00F5184F">
        <w:rPr>
          <w:lang w:val="sv-FI"/>
        </w:rPr>
        <w:t>21</w:t>
      </w:r>
    </w:p>
    <w:p w14:paraId="7ED7F9B7" w14:textId="77777777" w:rsidR="00BB6606" w:rsidRPr="00F5184F" w:rsidRDefault="00BB6606" w:rsidP="00BB6606">
      <w:pPr>
        <w:pStyle w:val="NoSpacing"/>
        <w:rPr>
          <w:lang w:val="sv-FI"/>
        </w:rPr>
      </w:pPr>
    </w:p>
    <w:p w14:paraId="3E93E64B" w14:textId="09589568" w:rsidR="00BB6606" w:rsidRPr="00F5184F" w:rsidRDefault="00FC1267" w:rsidP="00BB6606">
      <w:pPr>
        <w:pStyle w:val="NoSpacing"/>
        <w:rPr>
          <w:lang w:val="sv-FI"/>
        </w:rPr>
      </w:pPr>
      <w:r w:rsidRPr="00F5184F">
        <w:rPr>
          <w:lang w:val="sv-FI"/>
        </w:rPr>
        <w:t>Tuomo Suvanto</w:t>
      </w:r>
    </w:p>
    <w:p w14:paraId="700EB25B" w14:textId="1F8F1ECF" w:rsidR="00BB6606" w:rsidRPr="00F5184F" w:rsidRDefault="00CD41CD" w:rsidP="00BB6606">
      <w:pPr>
        <w:pStyle w:val="NoSpacing"/>
        <w:rPr>
          <w:lang w:val="sv-FI"/>
        </w:rPr>
      </w:pPr>
      <w:r w:rsidRPr="00F5184F">
        <w:rPr>
          <w:lang w:val="sv-FI"/>
        </w:rPr>
        <w:t>Ledande sakkunnig</w:t>
      </w:r>
    </w:p>
    <w:p w14:paraId="7EDD3F52" w14:textId="77777777" w:rsidR="00BB6606" w:rsidRPr="00F5184F" w:rsidRDefault="00BB6606" w:rsidP="00BB6606">
      <w:pPr>
        <w:pStyle w:val="NoSpacing"/>
        <w:rPr>
          <w:lang w:val="sv-FI"/>
        </w:rPr>
      </w:pPr>
    </w:p>
    <w:p w14:paraId="08D32D25" w14:textId="77777777" w:rsidR="00BB6606" w:rsidRPr="00F214CB" w:rsidRDefault="00BB6606" w:rsidP="00BB6606">
      <w:pPr>
        <w:pStyle w:val="NoSpacing"/>
        <w:rPr>
          <w:lang w:val="en-US"/>
        </w:rPr>
      </w:pPr>
      <w:r w:rsidRPr="00F214CB">
        <w:rPr>
          <w:lang w:val="en-US"/>
        </w:rPr>
        <w:t>Transport- och kommunikationsverket Traficom</w:t>
      </w:r>
    </w:p>
    <w:p w14:paraId="0FEC19F5" w14:textId="77777777" w:rsidR="00194BBE" w:rsidRPr="00F214CB" w:rsidRDefault="00194BBE" w:rsidP="00BB6606">
      <w:pPr>
        <w:pStyle w:val="NoSpacing"/>
        <w:rPr>
          <w:lang w:val="en-US"/>
        </w:rPr>
      </w:pPr>
    </w:p>
    <w:p w14:paraId="6FAC96DB" w14:textId="77777777" w:rsidR="00194BBE" w:rsidRPr="00F214CB" w:rsidRDefault="00194BBE" w:rsidP="00194BBE">
      <w:pPr>
        <w:pStyle w:val="NoSpacing"/>
        <w:ind w:left="0"/>
        <w:rPr>
          <w:rFonts w:eastAsiaTheme="majorEastAsia" w:cstheme="majorHAnsi"/>
          <w:b/>
          <w:kern w:val="22"/>
          <w:sz w:val="30"/>
          <w:szCs w:val="52"/>
          <w:lang w:val="en-US"/>
        </w:rPr>
      </w:pPr>
      <w:r w:rsidRPr="00F214CB">
        <w:rPr>
          <w:rFonts w:eastAsiaTheme="majorEastAsia" w:cstheme="majorHAnsi"/>
          <w:b/>
          <w:kern w:val="22"/>
          <w:sz w:val="30"/>
          <w:szCs w:val="52"/>
          <w:lang w:val="en-US"/>
        </w:rPr>
        <w:lastRenderedPageBreak/>
        <w:t>FOREWORD</w:t>
      </w:r>
    </w:p>
    <w:p w14:paraId="4B243B01" w14:textId="77777777" w:rsidR="00194BBE" w:rsidRPr="00F214CB" w:rsidRDefault="00194BBE" w:rsidP="00194BBE">
      <w:pPr>
        <w:pStyle w:val="NoSpacing"/>
        <w:rPr>
          <w:lang w:val="en-US"/>
        </w:rPr>
      </w:pPr>
    </w:p>
    <w:p w14:paraId="0F0CE871" w14:textId="5791685F" w:rsidR="005D3AC2" w:rsidRPr="005D3AC2" w:rsidRDefault="005D3AC2" w:rsidP="005D3AC2">
      <w:pPr>
        <w:pStyle w:val="BodyText"/>
        <w:rPr>
          <w:lang w:val="en" w:eastAsia="fi-FI"/>
        </w:rPr>
      </w:pPr>
      <w:r w:rsidRPr="005D3AC2">
        <w:rPr>
          <w:lang w:val="en" w:eastAsia="fi-FI"/>
        </w:rPr>
        <w:t>The administrati</w:t>
      </w:r>
      <w:r w:rsidR="004C2A6C">
        <w:rPr>
          <w:lang w:val="en" w:eastAsia="fi-FI"/>
        </w:rPr>
        <w:t>ve branch</w:t>
      </w:r>
      <w:r w:rsidRPr="005D3AC2">
        <w:rPr>
          <w:lang w:val="en" w:eastAsia="fi-FI"/>
        </w:rPr>
        <w:t xml:space="preserve"> of the Ministry of Transport and Communications </w:t>
      </w:r>
      <w:r>
        <w:rPr>
          <w:lang w:val="en" w:eastAsia="fi-FI"/>
        </w:rPr>
        <w:t xml:space="preserve">of Finland </w:t>
      </w:r>
      <w:r w:rsidRPr="005D3AC2">
        <w:rPr>
          <w:lang w:val="en" w:eastAsia="fi-FI"/>
        </w:rPr>
        <w:t xml:space="preserve">has </w:t>
      </w:r>
      <w:r w:rsidR="004C2A6C">
        <w:rPr>
          <w:lang w:val="en" w:eastAsia="fi-FI"/>
        </w:rPr>
        <w:t xml:space="preserve">developed the </w:t>
      </w:r>
      <w:r w:rsidRPr="005D3AC2">
        <w:rPr>
          <w:lang w:val="en" w:eastAsia="fi-FI"/>
        </w:rPr>
        <w:t>assessment of the wider economic impact</w:t>
      </w:r>
      <w:r>
        <w:rPr>
          <w:lang w:val="en" w:eastAsia="fi-FI"/>
        </w:rPr>
        <w:t>s</w:t>
      </w:r>
      <w:r w:rsidRPr="005D3AC2">
        <w:rPr>
          <w:lang w:val="en" w:eastAsia="fi-FI"/>
        </w:rPr>
        <w:t xml:space="preserve"> of the transport system in several different studies and surveys. The </w:t>
      </w:r>
      <w:r>
        <w:rPr>
          <w:lang w:val="en" w:eastAsia="fi-FI"/>
        </w:rPr>
        <w:t xml:space="preserve">framework for the wider </w:t>
      </w:r>
      <w:r w:rsidRPr="005D3AC2">
        <w:rPr>
          <w:lang w:val="en" w:eastAsia="fi-FI"/>
        </w:rPr>
        <w:t>economic impact</w:t>
      </w:r>
      <w:r>
        <w:rPr>
          <w:lang w:val="en" w:eastAsia="fi-FI"/>
        </w:rPr>
        <w:t>s</w:t>
      </w:r>
      <w:r w:rsidRPr="005D3AC2">
        <w:rPr>
          <w:lang w:val="en" w:eastAsia="fi-FI"/>
        </w:rPr>
        <w:t xml:space="preserve"> includes agg</w:t>
      </w:r>
      <w:r>
        <w:rPr>
          <w:lang w:val="en" w:eastAsia="fi-FI"/>
        </w:rPr>
        <w:t>lomeration</w:t>
      </w:r>
      <w:r w:rsidRPr="005D3AC2">
        <w:rPr>
          <w:lang w:val="en" w:eastAsia="fi-FI"/>
        </w:rPr>
        <w:t>, the labor market, the real estate market and the regional economy as a whole.</w:t>
      </w:r>
    </w:p>
    <w:p w14:paraId="7D3DF35D" w14:textId="70D5F072" w:rsidR="005D3AC2" w:rsidRPr="005D3AC2" w:rsidRDefault="005D3AC2" w:rsidP="005D3AC2">
      <w:pPr>
        <w:pStyle w:val="BodyText"/>
        <w:rPr>
          <w:lang w:val="en" w:eastAsia="fi-FI"/>
        </w:rPr>
      </w:pPr>
      <w:r w:rsidRPr="005D3AC2">
        <w:rPr>
          <w:lang w:val="en" w:eastAsia="fi-FI"/>
        </w:rPr>
        <w:t xml:space="preserve">The aim of this study has been to define an effective density measure suitable for Finland. The work is a follow-up study to the preliminary study of </w:t>
      </w:r>
      <w:r>
        <w:rPr>
          <w:lang w:val="en" w:eastAsia="fi-FI"/>
        </w:rPr>
        <w:t xml:space="preserve">agglomeration impacts </w:t>
      </w:r>
      <w:r w:rsidRPr="005D3AC2">
        <w:rPr>
          <w:lang w:val="en" w:eastAsia="fi-FI"/>
        </w:rPr>
        <w:t xml:space="preserve">completed in 2020. The study was commissioned by the Finnish Transport and Communications Agency Traficom in co-operation between Ramboll Finland Oy and </w:t>
      </w:r>
      <w:r>
        <w:rPr>
          <w:lang w:val="en" w:eastAsia="fi-FI"/>
        </w:rPr>
        <w:t>ETLA Economic Research</w:t>
      </w:r>
      <w:r w:rsidRPr="005D3AC2">
        <w:rPr>
          <w:lang w:val="en" w:eastAsia="fi-FI"/>
        </w:rPr>
        <w:t>.</w:t>
      </w:r>
    </w:p>
    <w:p w14:paraId="4CAE3F74" w14:textId="6FFC8648" w:rsidR="005D3AC2" w:rsidRPr="005D3AC2" w:rsidRDefault="005D3AC2" w:rsidP="005D3AC2">
      <w:pPr>
        <w:pStyle w:val="BodyText"/>
        <w:rPr>
          <w:lang w:val="en-US" w:eastAsia="fi-FI"/>
        </w:rPr>
      </w:pPr>
      <w:r w:rsidRPr="005D3AC2">
        <w:rPr>
          <w:lang w:val="en" w:eastAsia="fi-FI"/>
        </w:rPr>
        <w:t xml:space="preserve">The steering group of the study has included Tuomo Suvanto (Chairman), Hannu Kuikka, Taru Pakkanen, Virpi Pastinen and Anna Pätynen from the Finnish Transport and Communications Agency Traficom, Taneli Antikainen from the Finnish </w:t>
      </w:r>
      <w:r>
        <w:rPr>
          <w:lang w:val="en" w:eastAsia="fi-FI"/>
        </w:rPr>
        <w:t>Transport Infrastructure Agency</w:t>
      </w:r>
      <w:r w:rsidRPr="005D3AC2">
        <w:rPr>
          <w:lang w:val="en" w:eastAsia="fi-FI"/>
        </w:rPr>
        <w:t xml:space="preserve"> and Lauri Vuorio from the Helsinki Region Transport A</w:t>
      </w:r>
      <w:r w:rsidR="007044C9">
        <w:rPr>
          <w:lang w:val="en" w:eastAsia="fi-FI"/>
        </w:rPr>
        <w:t>uthority</w:t>
      </w:r>
      <w:r w:rsidRPr="005D3AC2">
        <w:rPr>
          <w:lang w:val="en" w:eastAsia="fi-FI"/>
        </w:rPr>
        <w:t xml:space="preserve">. Niko-Matti Ronikonmäki from the Ministry of Transport and Communications has also participated in the steering group meetings. The study was carried out by Heikki Metsäranta and Petri Blomqvist from Ramboll Finland and Krista Riukula and Antti Kauhanen from </w:t>
      </w:r>
      <w:r w:rsidR="007044C9">
        <w:rPr>
          <w:lang w:val="en" w:eastAsia="fi-FI"/>
        </w:rPr>
        <w:t>ETLA Economic Research.</w:t>
      </w:r>
    </w:p>
    <w:p w14:paraId="47F8817C" w14:textId="2E51B155" w:rsidR="00194BBE" w:rsidRPr="005D3AC2" w:rsidRDefault="00194BBE" w:rsidP="00194BBE">
      <w:pPr>
        <w:pStyle w:val="NoSpacing"/>
        <w:rPr>
          <w:lang w:val="en-US"/>
        </w:rPr>
      </w:pPr>
    </w:p>
    <w:p w14:paraId="238C5002" w14:textId="77777777" w:rsidR="00194BBE" w:rsidRPr="005D3AC2" w:rsidRDefault="00194BBE" w:rsidP="00194BBE">
      <w:pPr>
        <w:pStyle w:val="NoSpacing"/>
        <w:rPr>
          <w:lang w:val="en-US"/>
        </w:rPr>
      </w:pPr>
    </w:p>
    <w:p w14:paraId="58E62E06" w14:textId="2C23AEFA" w:rsidR="00194BBE" w:rsidRPr="00F05F7B" w:rsidRDefault="00194BBE" w:rsidP="00194BBE">
      <w:pPr>
        <w:pStyle w:val="NoSpacing"/>
        <w:rPr>
          <w:lang w:val="en-US"/>
        </w:rPr>
      </w:pPr>
      <w:r w:rsidRPr="00F05F7B">
        <w:rPr>
          <w:lang w:val="en-US"/>
        </w:rPr>
        <w:t xml:space="preserve">Helsinki, </w:t>
      </w:r>
      <w:r w:rsidR="00F5184F">
        <w:rPr>
          <w:lang w:val="en-US"/>
        </w:rPr>
        <w:t>5</w:t>
      </w:r>
      <w:r w:rsidR="00FC1267" w:rsidRPr="00F05F7B">
        <w:rPr>
          <w:lang w:val="en-US"/>
        </w:rPr>
        <w:t xml:space="preserve"> August</w:t>
      </w:r>
    </w:p>
    <w:p w14:paraId="11807918" w14:textId="77777777" w:rsidR="00194BBE" w:rsidRPr="00F05F7B" w:rsidRDefault="00194BBE" w:rsidP="00194BBE">
      <w:pPr>
        <w:pStyle w:val="NoSpacing"/>
        <w:rPr>
          <w:lang w:val="en-US"/>
        </w:rPr>
      </w:pPr>
    </w:p>
    <w:p w14:paraId="133B4A04" w14:textId="48A397F0" w:rsidR="00194BBE" w:rsidRPr="00F05F7B" w:rsidRDefault="00FC1267" w:rsidP="00194BBE">
      <w:pPr>
        <w:pStyle w:val="NoSpacing"/>
        <w:rPr>
          <w:lang w:val="en-US"/>
        </w:rPr>
      </w:pPr>
      <w:r w:rsidRPr="00F05F7B">
        <w:rPr>
          <w:lang w:val="en-US"/>
        </w:rPr>
        <w:t>Tuomo Suvanto</w:t>
      </w:r>
    </w:p>
    <w:p w14:paraId="4708A62F" w14:textId="7FD45AB8" w:rsidR="00FC1267" w:rsidRPr="00F05F7B" w:rsidRDefault="00CD41CD" w:rsidP="00194BBE">
      <w:pPr>
        <w:pStyle w:val="NoSpacing"/>
        <w:rPr>
          <w:lang w:val="en-US"/>
        </w:rPr>
      </w:pPr>
      <w:r w:rsidRPr="00F05F7B">
        <w:rPr>
          <w:lang w:val="en-US"/>
        </w:rPr>
        <w:t>Chief</w:t>
      </w:r>
      <w:r w:rsidR="00FC1267" w:rsidRPr="00F05F7B">
        <w:rPr>
          <w:lang w:val="en-US"/>
        </w:rPr>
        <w:t xml:space="preserve"> Advisor</w:t>
      </w:r>
    </w:p>
    <w:p w14:paraId="649329E8" w14:textId="77777777" w:rsidR="00194BBE" w:rsidRPr="00F05F7B" w:rsidRDefault="00194BBE" w:rsidP="00194BBE">
      <w:pPr>
        <w:pStyle w:val="NoSpacing"/>
        <w:rPr>
          <w:lang w:val="en-US"/>
        </w:rPr>
      </w:pPr>
    </w:p>
    <w:p w14:paraId="7CBB9ACB" w14:textId="77777777" w:rsidR="00194BBE" w:rsidRPr="00194BBE" w:rsidRDefault="00194BBE" w:rsidP="00194BBE">
      <w:pPr>
        <w:pStyle w:val="NoSpacing"/>
        <w:rPr>
          <w:lang w:val="en-GB"/>
        </w:rPr>
      </w:pPr>
      <w:r w:rsidRPr="00194BBE">
        <w:rPr>
          <w:lang w:val="en-GB"/>
        </w:rPr>
        <w:t>Finnish Transport and Communications Agency Traficom</w:t>
      </w:r>
    </w:p>
    <w:p w14:paraId="442E6511" w14:textId="77777777" w:rsidR="00821B4D" w:rsidRPr="00194BBE" w:rsidRDefault="00821B4D" w:rsidP="00D577E9">
      <w:pPr>
        <w:pStyle w:val="BodyText"/>
        <w:rPr>
          <w:lang w:val="en-GB"/>
        </w:rPr>
      </w:pPr>
    </w:p>
    <w:p w14:paraId="42E818D0" w14:textId="77777777" w:rsidR="00B7185A" w:rsidRPr="00194BBE" w:rsidRDefault="00B7185A" w:rsidP="00D577E9">
      <w:pPr>
        <w:rPr>
          <w:lang w:val="en-GB"/>
        </w:rPr>
      </w:pPr>
    </w:p>
    <w:p w14:paraId="5D0CC305" w14:textId="77777777" w:rsidR="00D577E9" w:rsidRPr="00194BBE" w:rsidRDefault="00D577E9" w:rsidP="00D577E9">
      <w:pPr>
        <w:rPr>
          <w:lang w:val="en-GB"/>
        </w:rPr>
      </w:pPr>
      <w:r w:rsidRPr="00194BBE">
        <w:rPr>
          <w:lang w:val="en-GB"/>
        </w:rPr>
        <w:br w:type="page"/>
      </w:r>
    </w:p>
    <w:sdt>
      <w:sdtPr>
        <w:rPr>
          <w:rFonts w:asciiTheme="minorHAnsi" w:eastAsiaTheme="minorHAnsi" w:hAnsiTheme="minorHAnsi" w:cstheme="minorHAnsi"/>
          <w:b w:val="0"/>
          <w:bCs w:val="0"/>
          <w:sz w:val="20"/>
          <w:szCs w:val="22"/>
        </w:rPr>
        <w:id w:val="-78918414"/>
        <w:docPartObj>
          <w:docPartGallery w:val="Table of Contents"/>
          <w:docPartUnique/>
        </w:docPartObj>
      </w:sdtPr>
      <w:sdtEndPr/>
      <w:sdtContent>
        <w:p w14:paraId="4DA28064" w14:textId="77777777" w:rsidR="00D577E9" w:rsidRPr="00F369C7" w:rsidRDefault="0040610B" w:rsidP="00D577E9">
          <w:pPr>
            <w:pStyle w:val="TOCHeading"/>
            <w:rPr>
              <w:rFonts w:asciiTheme="minorHAnsi" w:hAnsiTheme="minorHAnsi"/>
            </w:rPr>
          </w:pPr>
          <w:sdt>
            <w:sdtPr>
              <w:rPr>
                <w:rFonts w:asciiTheme="minorHAnsi" w:hAnsiTheme="minorHAnsi"/>
              </w:rPr>
              <w:id w:val="-446615139"/>
              <w:placeholder>
                <w:docPart w:val="97F5795809A543D599904A59D3415A6A"/>
              </w:placeholder>
              <w:comboBox>
                <w:listItem w:value="Valitse kohde."/>
                <w:listItem w:displayText="Sisällysluettelo" w:value="Sisällysluettelo"/>
                <w:listItem w:displayText="Table of Contents" w:value="Table of Contents"/>
                <w:listItem w:displayText="Innehåll" w:value="Innehåll"/>
                <w:listItem w:displayText=" " w:value=" "/>
              </w:comboBox>
            </w:sdtPr>
            <w:sdtEndPr/>
            <w:sdtContent>
              <w:r w:rsidR="00D577E9" w:rsidRPr="00F369C7">
                <w:rPr>
                  <w:rFonts w:asciiTheme="minorHAnsi" w:hAnsiTheme="minorHAnsi"/>
                </w:rPr>
                <w:t>Sisällysluettelo</w:t>
              </w:r>
            </w:sdtContent>
          </w:sdt>
        </w:p>
        <w:p w14:paraId="1496700D" w14:textId="2CB59E75" w:rsidR="009932F4" w:rsidRDefault="00D577E9">
          <w:pPr>
            <w:pStyle w:val="TOC1"/>
            <w:rPr>
              <w:rFonts w:asciiTheme="minorHAnsi" w:eastAsiaTheme="minorEastAsia" w:hAnsiTheme="minorHAnsi" w:cstheme="minorBidi"/>
              <w:b w:val="0"/>
              <w:noProof/>
              <w:sz w:val="22"/>
              <w:szCs w:val="22"/>
              <w:lang w:eastAsia="fi-FI"/>
            </w:rPr>
          </w:pPr>
          <w:r w:rsidRPr="00F369C7">
            <w:rPr>
              <w:rFonts w:asciiTheme="minorHAnsi" w:hAnsiTheme="minorHAnsi"/>
              <w:b w:val="0"/>
            </w:rPr>
            <w:fldChar w:fldCharType="begin"/>
          </w:r>
          <w:r w:rsidRPr="00F369C7">
            <w:rPr>
              <w:rFonts w:asciiTheme="minorHAnsi" w:hAnsiTheme="minorHAnsi"/>
              <w:b w:val="0"/>
            </w:rPr>
            <w:instrText xml:space="preserve"> TOC \o "1-3" \h \z \u \t "Otsikko 9,1" </w:instrText>
          </w:r>
          <w:r w:rsidRPr="00F369C7">
            <w:rPr>
              <w:rFonts w:asciiTheme="minorHAnsi" w:hAnsiTheme="minorHAnsi"/>
              <w:b w:val="0"/>
            </w:rPr>
            <w:fldChar w:fldCharType="separate"/>
          </w:r>
          <w:hyperlink w:anchor="_Toc76110766" w:history="1">
            <w:r w:rsidR="009932F4" w:rsidRPr="00913A03">
              <w:rPr>
                <w:rStyle w:val="Hyperlink"/>
                <w:noProof/>
              </w:rPr>
              <w:t>1</w:t>
            </w:r>
            <w:r w:rsidR="009932F4">
              <w:rPr>
                <w:rFonts w:asciiTheme="minorHAnsi" w:eastAsiaTheme="minorEastAsia" w:hAnsiTheme="minorHAnsi" w:cstheme="minorBidi"/>
                <w:b w:val="0"/>
                <w:noProof/>
                <w:sz w:val="22"/>
                <w:szCs w:val="22"/>
                <w:lang w:eastAsia="fi-FI"/>
              </w:rPr>
              <w:tab/>
            </w:r>
            <w:r w:rsidR="009932F4" w:rsidRPr="00913A03">
              <w:rPr>
                <w:rStyle w:val="Hyperlink"/>
                <w:noProof/>
              </w:rPr>
              <w:t>Johdanto</w:t>
            </w:r>
            <w:r w:rsidR="009932F4">
              <w:rPr>
                <w:noProof/>
                <w:webHidden/>
              </w:rPr>
              <w:tab/>
            </w:r>
            <w:r w:rsidR="009932F4">
              <w:rPr>
                <w:noProof/>
                <w:webHidden/>
              </w:rPr>
              <w:fldChar w:fldCharType="begin"/>
            </w:r>
            <w:r w:rsidR="009932F4">
              <w:rPr>
                <w:noProof/>
                <w:webHidden/>
              </w:rPr>
              <w:instrText xml:space="preserve"> PAGEREF _Toc76110766 \h </w:instrText>
            </w:r>
            <w:r w:rsidR="009932F4">
              <w:rPr>
                <w:noProof/>
                <w:webHidden/>
              </w:rPr>
            </w:r>
            <w:r w:rsidR="009932F4">
              <w:rPr>
                <w:noProof/>
                <w:webHidden/>
              </w:rPr>
              <w:fldChar w:fldCharType="separate"/>
            </w:r>
            <w:r w:rsidR="009932F4">
              <w:rPr>
                <w:noProof/>
                <w:webHidden/>
              </w:rPr>
              <w:t>7</w:t>
            </w:r>
            <w:r w:rsidR="009932F4">
              <w:rPr>
                <w:noProof/>
                <w:webHidden/>
              </w:rPr>
              <w:fldChar w:fldCharType="end"/>
            </w:r>
          </w:hyperlink>
        </w:p>
        <w:p w14:paraId="6A55663B" w14:textId="13146EC2" w:rsidR="009932F4" w:rsidRDefault="0040610B">
          <w:pPr>
            <w:pStyle w:val="TOC2"/>
            <w:rPr>
              <w:rFonts w:asciiTheme="minorHAnsi" w:eastAsiaTheme="minorEastAsia" w:hAnsiTheme="minorHAnsi" w:cstheme="minorBidi"/>
              <w:bCs w:val="0"/>
              <w:iCs w:val="0"/>
              <w:noProof/>
              <w:sz w:val="22"/>
              <w:szCs w:val="22"/>
              <w:lang w:eastAsia="fi-FI"/>
            </w:rPr>
          </w:pPr>
          <w:hyperlink w:anchor="_Toc76110767" w:history="1">
            <w:r w:rsidR="009932F4" w:rsidRPr="00913A03">
              <w:rPr>
                <w:rStyle w:val="Hyperlink"/>
                <w:noProof/>
              </w:rPr>
              <w:t>1.1</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Kasautumisvaikutusten arvioinnin kehittämisen tilanne Suomessa</w:t>
            </w:r>
            <w:r w:rsidR="009932F4">
              <w:rPr>
                <w:noProof/>
                <w:webHidden/>
              </w:rPr>
              <w:tab/>
            </w:r>
            <w:r w:rsidR="009932F4">
              <w:rPr>
                <w:noProof/>
                <w:webHidden/>
              </w:rPr>
              <w:fldChar w:fldCharType="begin"/>
            </w:r>
            <w:r w:rsidR="009932F4">
              <w:rPr>
                <w:noProof/>
                <w:webHidden/>
              </w:rPr>
              <w:instrText xml:space="preserve"> PAGEREF _Toc76110767 \h </w:instrText>
            </w:r>
            <w:r w:rsidR="009932F4">
              <w:rPr>
                <w:noProof/>
                <w:webHidden/>
              </w:rPr>
            </w:r>
            <w:r w:rsidR="009932F4">
              <w:rPr>
                <w:noProof/>
                <w:webHidden/>
              </w:rPr>
              <w:fldChar w:fldCharType="separate"/>
            </w:r>
            <w:r w:rsidR="009932F4">
              <w:rPr>
                <w:noProof/>
                <w:webHidden/>
              </w:rPr>
              <w:t>7</w:t>
            </w:r>
            <w:r w:rsidR="009932F4">
              <w:rPr>
                <w:noProof/>
                <w:webHidden/>
              </w:rPr>
              <w:fldChar w:fldCharType="end"/>
            </w:r>
          </w:hyperlink>
        </w:p>
        <w:p w14:paraId="693FD885" w14:textId="1A95118C" w:rsidR="009932F4" w:rsidRDefault="0040610B">
          <w:pPr>
            <w:pStyle w:val="TOC2"/>
            <w:rPr>
              <w:rFonts w:asciiTheme="minorHAnsi" w:eastAsiaTheme="minorEastAsia" w:hAnsiTheme="minorHAnsi" w:cstheme="minorBidi"/>
              <w:bCs w:val="0"/>
              <w:iCs w:val="0"/>
              <w:noProof/>
              <w:sz w:val="22"/>
              <w:szCs w:val="22"/>
              <w:lang w:eastAsia="fi-FI"/>
            </w:rPr>
          </w:pPr>
          <w:hyperlink w:anchor="_Toc76110768" w:history="1">
            <w:r w:rsidR="009932F4" w:rsidRPr="00913A03">
              <w:rPr>
                <w:rStyle w:val="Hyperlink"/>
                <w:noProof/>
              </w:rPr>
              <w:t>1.2</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Tämän työn tavoite</w:t>
            </w:r>
            <w:r w:rsidR="009932F4">
              <w:rPr>
                <w:noProof/>
                <w:webHidden/>
              </w:rPr>
              <w:tab/>
            </w:r>
            <w:r w:rsidR="009932F4">
              <w:rPr>
                <w:noProof/>
                <w:webHidden/>
              </w:rPr>
              <w:fldChar w:fldCharType="begin"/>
            </w:r>
            <w:r w:rsidR="009932F4">
              <w:rPr>
                <w:noProof/>
                <w:webHidden/>
              </w:rPr>
              <w:instrText xml:space="preserve"> PAGEREF _Toc76110768 \h </w:instrText>
            </w:r>
            <w:r w:rsidR="009932F4">
              <w:rPr>
                <w:noProof/>
                <w:webHidden/>
              </w:rPr>
            </w:r>
            <w:r w:rsidR="009932F4">
              <w:rPr>
                <w:noProof/>
                <w:webHidden/>
              </w:rPr>
              <w:fldChar w:fldCharType="separate"/>
            </w:r>
            <w:r w:rsidR="009932F4">
              <w:rPr>
                <w:noProof/>
                <w:webHidden/>
              </w:rPr>
              <w:t>8</w:t>
            </w:r>
            <w:r w:rsidR="009932F4">
              <w:rPr>
                <w:noProof/>
                <w:webHidden/>
              </w:rPr>
              <w:fldChar w:fldCharType="end"/>
            </w:r>
          </w:hyperlink>
        </w:p>
        <w:p w14:paraId="51626685" w14:textId="18C85B60" w:rsidR="009932F4" w:rsidRDefault="0040610B">
          <w:pPr>
            <w:pStyle w:val="TOC2"/>
            <w:rPr>
              <w:rFonts w:asciiTheme="minorHAnsi" w:eastAsiaTheme="minorEastAsia" w:hAnsiTheme="minorHAnsi" w:cstheme="minorBidi"/>
              <w:bCs w:val="0"/>
              <w:iCs w:val="0"/>
              <w:noProof/>
              <w:sz w:val="22"/>
              <w:szCs w:val="22"/>
              <w:lang w:eastAsia="fi-FI"/>
            </w:rPr>
          </w:pPr>
          <w:hyperlink w:anchor="_Toc76110769" w:history="1">
            <w:r w:rsidR="009932F4" w:rsidRPr="00913A03">
              <w:rPr>
                <w:rStyle w:val="Hyperlink"/>
                <w:noProof/>
              </w:rPr>
              <w:t>1.3</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Työn rajaus ja menetelmät</w:t>
            </w:r>
            <w:r w:rsidR="009932F4">
              <w:rPr>
                <w:noProof/>
                <w:webHidden/>
              </w:rPr>
              <w:tab/>
            </w:r>
            <w:r w:rsidR="009932F4">
              <w:rPr>
                <w:noProof/>
                <w:webHidden/>
              </w:rPr>
              <w:fldChar w:fldCharType="begin"/>
            </w:r>
            <w:r w:rsidR="009932F4">
              <w:rPr>
                <w:noProof/>
                <w:webHidden/>
              </w:rPr>
              <w:instrText xml:space="preserve"> PAGEREF _Toc76110769 \h </w:instrText>
            </w:r>
            <w:r w:rsidR="009932F4">
              <w:rPr>
                <w:noProof/>
                <w:webHidden/>
              </w:rPr>
            </w:r>
            <w:r w:rsidR="009932F4">
              <w:rPr>
                <w:noProof/>
                <w:webHidden/>
              </w:rPr>
              <w:fldChar w:fldCharType="separate"/>
            </w:r>
            <w:r w:rsidR="009932F4">
              <w:rPr>
                <w:noProof/>
                <w:webHidden/>
              </w:rPr>
              <w:t>8</w:t>
            </w:r>
            <w:r w:rsidR="009932F4">
              <w:rPr>
                <w:noProof/>
                <w:webHidden/>
              </w:rPr>
              <w:fldChar w:fldCharType="end"/>
            </w:r>
          </w:hyperlink>
        </w:p>
        <w:p w14:paraId="4703CDFD" w14:textId="2A2FB0DD" w:rsidR="009932F4" w:rsidRDefault="0040610B">
          <w:pPr>
            <w:pStyle w:val="TOC1"/>
            <w:rPr>
              <w:rFonts w:asciiTheme="minorHAnsi" w:eastAsiaTheme="minorEastAsia" w:hAnsiTheme="minorHAnsi" w:cstheme="minorBidi"/>
              <w:b w:val="0"/>
              <w:noProof/>
              <w:sz w:val="22"/>
              <w:szCs w:val="22"/>
              <w:lang w:eastAsia="fi-FI"/>
            </w:rPr>
          </w:pPr>
          <w:hyperlink w:anchor="_Toc76110770" w:history="1">
            <w:r w:rsidR="009932F4" w:rsidRPr="00913A03">
              <w:rPr>
                <w:rStyle w:val="Hyperlink"/>
                <w:noProof/>
              </w:rPr>
              <w:t>2</w:t>
            </w:r>
            <w:r w:rsidR="009932F4">
              <w:rPr>
                <w:rFonts w:asciiTheme="minorHAnsi" w:eastAsiaTheme="minorEastAsia" w:hAnsiTheme="minorHAnsi" w:cstheme="minorBidi"/>
                <w:b w:val="0"/>
                <w:noProof/>
                <w:sz w:val="22"/>
                <w:szCs w:val="22"/>
                <w:lang w:eastAsia="fi-FI"/>
              </w:rPr>
              <w:tab/>
            </w:r>
            <w:r w:rsidR="009932F4" w:rsidRPr="00913A03">
              <w:rPr>
                <w:rStyle w:val="Hyperlink"/>
                <w:noProof/>
              </w:rPr>
              <w:t>Kirjallisuustutkimus</w:t>
            </w:r>
            <w:r w:rsidR="009932F4">
              <w:rPr>
                <w:noProof/>
                <w:webHidden/>
              </w:rPr>
              <w:tab/>
            </w:r>
            <w:r w:rsidR="009932F4">
              <w:rPr>
                <w:noProof/>
                <w:webHidden/>
              </w:rPr>
              <w:fldChar w:fldCharType="begin"/>
            </w:r>
            <w:r w:rsidR="009932F4">
              <w:rPr>
                <w:noProof/>
                <w:webHidden/>
              </w:rPr>
              <w:instrText xml:space="preserve"> PAGEREF _Toc76110770 \h </w:instrText>
            </w:r>
            <w:r w:rsidR="009932F4">
              <w:rPr>
                <w:noProof/>
                <w:webHidden/>
              </w:rPr>
            </w:r>
            <w:r w:rsidR="009932F4">
              <w:rPr>
                <w:noProof/>
                <w:webHidden/>
              </w:rPr>
              <w:fldChar w:fldCharType="separate"/>
            </w:r>
            <w:r w:rsidR="009932F4">
              <w:rPr>
                <w:noProof/>
                <w:webHidden/>
              </w:rPr>
              <w:t>9</w:t>
            </w:r>
            <w:r w:rsidR="009932F4">
              <w:rPr>
                <w:noProof/>
                <w:webHidden/>
              </w:rPr>
              <w:fldChar w:fldCharType="end"/>
            </w:r>
          </w:hyperlink>
        </w:p>
        <w:p w14:paraId="78023C4C" w14:textId="047589E1" w:rsidR="009932F4" w:rsidRDefault="0040610B">
          <w:pPr>
            <w:pStyle w:val="TOC2"/>
            <w:rPr>
              <w:rFonts w:asciiTheme="minorHAnsi" w:eastAsiaTheme="minorEastAsia" w:hAnsiTheme="minorHAnsi" w:cstheme="minorBidi"/>
              <w:bCs w:val="0"/>
              <w:iCs w:val="0"/>
              <w:noProof/>
              <w:sz w:val="22"/>
              <w:szCs w:val="22"/>
              <w:lang w:eastAsia="fi-FI"/>
            </w:rPr>
          </w:pPr>
          <w:hyperlink w:anchor="_Toc76110771" w:history="1">
            <w:r w:rsidR="009932F4" w:rsidRPr="00913A03">
              <w:rPr>
                <w:rStyle w:val="Hyperlink"/>
                <w:noProof/>
              </w:rPr>
              <w:t>2.1</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Kasautumisen mittaaminen</w:t>
            </w:r>
            <w:r w:rsidR="009932F4">
              <w:rPr>
                <w:noProof/>
                <w:webHidden/>
              </w:rPr>
              <w:tab/>
            </w:r>
            <w:r w:rsidR="009932F4">
              <w:rPr>
                <w:noProof/>
                <w:webHidden/>
              </w:rPr>
              <w:fldChar w:fldCharType="begin"/>
            </w:r>
            <w:r w:rsidR="009932F4">
              <w:rPr>
                <w:noProof/>
                <w:webHidden/>
              </w:rPr>
              <w:instrText xml:space="preserve"> PAGEREF _Toc76110771 \h </w:instrText>
            </w:r>
            <w:r w:rsidR="009932F4">
              <w:rPr>
                <w:noProof/>
                <w:webHidden/>
              </w:rPr>
            </w:r>
            <w:r w:rsidR="009932F4">
              <w:rPr>
                <w:noProof/>
                <w:webHidden/>
              </w:rPr>
              <w:fldChar w:fldCharType="separate"/>
            </w:r>
            <w:r w:rsidR="009932F4">
              <w:rPr>
                <w:noProof/>
                <w:webHidden/>
              </w:rPr>
              <w:t>9</w:t>
            </w:r>
            <w:r w:rsidR="009932F4">
              <w:rPr>
                <w:noProof/>
                <w:webHidden/>
              </w:rPr>
              <w:fldChar w:fldCharType="end"/>
            </w:r>
          </w:hyperlink>
        </w:p>
        <w:p w14:paraId="08D02434" w14:textId="3C48D4BB" w:rsidR="009932F4" w:rsidRDefault="0040610B">
          <w:pPr>
            <w:pStyle w:val="TOC3"/>
            <w:tabs>
              <w:tab w:val="left" w:pos="2552"/>
            </w:tabs>
            <w:rPr>
              <w:rFonts w:asciiTheme="minorHAnsi" w:eastAsiaTheme="minorEastAsia" w:hAnsiTheme="minorHAnsi" w:cstheme="minorBidi"/>
              <w:bCs w:val="0"/>
              <w:noProof/>
              <w:sz w:val="22"/>
              <w:szCs w:val="22"/>
              <w:lang w:eastAsia="fi-FI"/>
            </w:rPr>
          </w:pPr>
          <w:hyperlink w:anchor="_Toc76110772" w:history="1">
            <w:r w:rsidR="009932F4" w:rsidRPr="00913A03">
              <w:rPr>
                <w:rStyle w:val="Hyperlink"/>
                <w:noProof/>
              </w:rPr>
              <w:t>2.1.1</w:t>
            </w:r>
            <w:r w:rsidR="009932F4">
              <w:rPr>
                <w:rFonts w:asciiTheme="minorHAnsi" w:eastAsiaTheme="minorEastAsia" w:hAnsiTheme="minorHAnsi" w:cstheme="minorBidi"/>
                <w:bCs w:val="0"/>
                <w:noProof/>
                <w:sz w:val="22"/>
                <w:szCs w:val="22"/>
                <w:lang w:eastAsia="fi-FI"/>
              </w:rPr>
              <w:tab/>
            </w:r>
            <w:r w:rsidR="009932F4" w:rsidRPr="00913A03">
              <w:rPr>
                <w:rStyle w:val="Hyperlink"/>
                <w:noProof/>
              </w:rPr>
              <w:t>Tehokkaan tiheyden mittari</w:t>
            </w:r>
            <w:r w:rsidR="009932F4">
              <w:rPr>
                <w:noProof/>
                <w:webHidden/>
              </w:rPr>
              <w:tab/>
            </w:r>
            <w:r w:rsidR="009932F4">
              <w:rPr>
                <w:noProof/>
                <w:webHidden/>
              </w:rPr>
              <w:fldChar w:fldCharType="begin"/>
            </w:r>
            <w:r w:rsidR="009932F4">
              <w:rPr>
                <w:noProof/>
                <w:webHidden/>
              </w:rPr>
              <w:instrText xml:space="preserve"> PAGEREF _Toc76110772 \h </w:instrText>
            </w:r>
            <w:r w:rsidR="009932F4">
              <w:rPr>
                <w:noProof/>
                <w:webHidden/>
              </w:rPr>
            </w:r>
            <w:r w:rsidR="009932F4">
              <w:rPr>
                <w:noProof/>
                <w:webHidden/>
              </w:rPr>
              <w:fldChar w:fldCharType="separate"/>
            </w:r>
            <w:r w:rsidR="009932F4">
              <w:rPr>
                <w:noProof/>
                <w:webHidden/>
              </w:rPr>
              <w:t>9</w:t>
            </w:r>
            <w:r w:rsidR="009932F4">
              <w:rPr>
                <w:noProof/>
                <w:webHidden/>
              </w:rPr>
              <w:fldChar w:fldCharType="end"/>
            </w:r>
          </w:hyperlink>
        </w:p>
        <w:p w14:paraId="34098448" w14:textId="427AB347" w:rsidR="009932F4" w:rsidRDefault="0040610B">
          <w:pPr>
            <w:pStyle w:val="TOC3"/>
            <w:tabs>
              <w:tab w:val="left" w:pos="2552"/>
            </w:tabs>
            <w:rPr>
              <w:rFonts w:asciiTheme="minorHAnsi" w:eastAsiaTheme="minorEastAsia" w:hAnsiTheme="minorHAnsi" w:cstheme="minorBidi"/>
              <w:bCs w:val="0"/>
              <w:noProof/>
              <w:sz w:val="22"/>
              <w:szCs w:val="22"/>
              <w:lang w:eastAsia="fi-FI"/>
            </w:rPr>
          </w:pPr>
          <w:hyperlink w:anchor="_Toc76110773" w:history="1">
            <w:r w:rsidR="009932F4" w:rsidRPr="00913A03">
              <w:rPr>
                <w:rStyle w:val="Hyperlink"/>
                <w:noProof/>
              </w:rPr>
              <w:t>2.1.2</w:t>
            </w:r>
            <w:r w:rsidR="009932F4">
              <w:rPr>
                <w:rFonts w:asciiTheme="minorHAnsi" w:eastAsiaTheme="minorEastAsia" w:hAnsiTheme="minorHAnsi" w:cstheme="minorBidi"/>
                <w:bCs w:val="0"/>
                <w:noProof/>
                <w:sz w:val="22"/>
                <w:szCs w:val="22"/>
                <w:lang w:eastAsia="fi-FI"/>
              </w:rPr>
              <w:tab/>
            </w:r>
            <w:r w:rsidR="009932F4" w:rsidRPr="00913A03">
              <w:rPr>
                <w:rStyle w:val="Hyperlink"/>
                <w:noProof/>
              </w:rPr>
              <w:t>Mittarin kytkentä kasautumisilmiöön</w:t>
            </w:r>
            <w:r w:rsidR="009932F4">
              <w:rPr>
                <w:noProof/>
                <w:webHidden/>
              </w:rPr>
              <w:tab/>
            </w:r>
            <w:r w:rsidR="009932F4">
              <w:rPr>
                <w:noProof/>
                <w:webHidden/>
              </w:rPr>
              <w:fldChar w:fldCharType="begin"/>
            </w:r>
            <w:r w:rsidR="009932F4">
              <w:rPr>
                <w:noProof/>
                <w:webHidden/>
              </w:rPr>
              <w:instrText xml:space="preserve"> PAGEREF _Toc76110773 \h </w:instrText>
            </w:r>
            <w:r w:rsidR="009932F4">
              <w:rPr>
                <w:noProof/>
                <w:webHidden/>
              </w:rPr>
            </w:r>
            <w:r w:rsidR="009932F4">
              <w:rPr>
                <w:noProof/>
                <w:webHidden/>
              </w:rPr>
              <w:fldChar w:fldCharType="separate"/>
            </w:r>
            <w:r w:rsidR="009932F4">
              <w:rPr>
                <w:noProof/>
                <w:webHidden/>
              </w:rPr>
              <w:t>10</w:t>
            </w:r>
            <w:r w:rsidR="009932F4">
              <w:rPr>
                <w:noProof/>
                <w:webHidden/>
              </w:rPr>
              <w:fldChar w:fldCharType="end"/>
            </w:r>
          </w:hyperlink>
        </w:p>
        <w:p w14:paraId="6C248A22" w14:textId="4F9EB142" w:rsidR="009932F4" w:rsidRDefault="0040610B">
          <w:pPr>
            <w:pStyle w:val="TOC3"/>
            <w:tabs>
              <w:tab w:val="left" w:pos="2552"/>
            </w:tabs>
            <w:rPr>
              <w:rFonts w:asciiTheme="minorHAnsi" w:eastAsiaTheme="minorEastAsia" w:hAnsiTheme="minorHAnsi" w:cstheme="minorBidi"/>
              <w:bCs w:val="0"/>
              <w:noProof/>
              <w:sz w:val="22"/>
              <w:szCs w:val="22"/>
              <w:lang w:eastAsia="fi-FI"/>
            </w:rPr>
          </w:pPr>
          <w:hyperlink w:anchor="_Toc76110774" w:history="1">
            <w:r w:rsidR="009932F4" w:rsidRPr="00913A03">
              <w:rPr>
                <w:rStyle w:val="Hyperlink"/>
                <w:noProof/>
              </w:rPr>
              <w:t>2.1.3</w:t>
            </w:r>
            <w:r w:rsidR="009932F4">
              <w:rPr>
                <w:rFonts w:asciiTheme="minorHAnsi" w:eastAsiaTheme="minorEastAsia" w:hAnsiTheme="minorHAnsi" w:cstheme="minorBidi"/>
                <w:bCs w:val="0"/>
                <w:noProof/>
                <w:sz w:val="22"/>
                <w:szCs w:val="22"/>
                <w:lang w:eastAsia="fi-FI"/>
              </w:rPr>
              <w:tab/>
            </w:r>
            <w:r w:rsidR="009932F4" w:rsidRPr="00913A03">
              <w:rPr>
                <w:rStyle w:val="Hyperlink"/>
                <w:noProof/>
              </w:rPr>
              <w:t>Kasautumisvaikutusten ulottuvuus</w:t>
            </w:r>
            <w:r w:rsidR="009932F4">
              <w:rPr>
                <w:noProof/>
                <w:webHidden/>
              </w:rPr>
              <w:tab/>
            </w:r>
            <w:r w:rsidR="009932F4">
              <w:rPr>
                <w:noProof/>
                <w:webHidden/>
              </w:rPr>
              <w:fldChar w:fldCharType="begin"/>
            </w:r>
            <w:r w:rsidR="009932F4">
              <w:rPr>
                <w:noProof/>
                <w:webHidden/>
              </w:rPr>
              <w:instrText xml:space="preserve"> PAGEREF _Toc76110774 \h </w:instrText>
            </w:r>
            <w:r w:rsidR="009932F4">
              <w:rPr>
                <w:noProof/>
                <w:webHidden/>
              </w:rPr>
            </w:r>
            <w:r w:rsidR="009932F4">
              <w:rPr>
                <w:noProof/>
                <w:webHidden/>
              </w:rPr>
              <w:fldChar w:fldCharType="separate"/>
            </w:r>
            <w:r w:rsidR="009932F4">
              <w:rPr>
                <w:noProof/>
                <w:webHidden/>
              </w:rPr>
              <w:t>10</w:t>
            </w:r>
            <w:r w:rsidR="009932F4">
              <w:rPr>
                <w:noProof/>
                <w:webHidden/>
              </w:rPr>
              <w:fldChar w:fldCharType="end"/>
            </w:r>
          </w:hyperlink>
        </w:p>
        <w:p w14:paraId="50D41B3C" w14:textId="32897AF8" w:rsidR="009932F4" w:rsidRDefault="0040610B">
          <w:pPr>
            <w:pStyle w:val="TOC3"/>
            <w:tabs>
              <w:tab w:val="left" w:pos="2552"/>
            </w:tabs>
            <w:rPr>
              <w:rFonts w:asciiTheme="minorHAnsi" w:eastAsiaTheme="minorEastAsia" w:hAnsiTheme="minorHAnsi" w:cstheme="minorBidi"/>
              <w:bCs w:val="0"/>
              <w:noProof/>
              <w:sz w:val="22"/>
              <w:szCs w:val="22"/>
              <w:lang w:eastAsia="fi-FI"/>
            </w:rPr>
          </w:pPr>
          <w:hyperlink w:anchor="_Toc76110775" w:history="1">
            <w:r w:rsidR="009932F4" w:rsidRPr="00913A03">
              <w:rPr>
                <w:rStyle w:val="Hyperlink"/>
                <w:noProof/>
              </w:rPr>
              <w:t>2.1.4</w:t>
            </w:r>
            <w:r w:rsidR="009932F4">
              <w:rPr>
                <w:rFonts w:asciiTheme="minorHAnsi" w:eastAsiaTheme="minorEastAsia" w:hAnsiTheme="minorHAnsi" w:cstheme="minorBidi"/>
                <w:bCs w:val="0"/>
                <w:noProof/>
                <w:sz w:val="22"/>
                <w:szCs w:val="22"/>
                <w:lang w:eastAsia="fi-FI"/>
              </w:rPr>
              <w:tab/>
            </w:r>
            <w:r w:rsidR="009932F4" w:rsidRPr="00913A03">
              <w:rPr>
                <w:rStyle w:val="Hyperlink"/>
                <w:noProof/>
              </w:rPr>
              <w:t>Staattiset ja dynaamiset kasautumisvaikutukset</w:t>
            </w:r>
            <w:r w:rsidR="009932F4">
              <w:rPr>
                <w:noProof/>
                <w:webHidden/>
              </w:rPr>
              <w:tab/>
            </w:r>
            <w:r w:rsidR="009932F4">
              <w:rPr>
                <w:noProof/>
                <w:webHidden/>
              </w:rPr>
              <w:fldChar w:fldCharType="begin"/>
            </w:r>
            <w:r w:rsidR="009932F4">
              <w:rPr>
                <w:noProof/>
                <w:webHidden/>
              </w:rPr>
              <w:instrText xml:space="preserve"> PAGEREF _Toc76110775 \h </w:instrText>
            </w:r>
            <w:r w:rsidR="009932F4">
              <w:rPr>
                <w:noProof/>
                <w:webHidden/>
              </w:rPr>
            </w:r>
            <w:r w:rsidR="009932F4">
              <w:rPr>
                <w:noProof/>
                <w:webHidden/>
              </w:rPr>
              <w:fldChar w:fldCharType="separate"/>
            </w:r>
            <w:r w:rsidR="009932F4">
              <w:rPr>
                <w:noProof/>
                <w:webHidden/>
              </w:rPr>
              <w:t>11</w:t>
            </w:r>
            <w:r w:rsidR="009932F4">
              <w:rPr>
                <w:noProof/>
                <w:webHidden/>
              </w:rPr>
              <w:fldChar w:fldCharType="end"/>
            </w:r>
          </w:hyperlink>
        </w:p>
        <w:p w14:paraId="7425A163" w14:textId="056B1CF7" w:rsidR="009932F4" w:rsidRDefault="0040610B">
          <w:pPr>
            <w:pStyle w:val="TOC2"/>
            <w:rPr>
              <w:rFonts w:asciiTheme="minorHAnsi" w:eastAsiaTheme="minorEastAsia" w:hAnsiTheme="minorHAnsi" w:cstheme="minorBidi"/>
              <w:bCs w:val="0"/>
              <w:iCs w:val="0"/>
              <w:noProof/>
              <w:sz w:val="22"/>
              <w:szCs w:val="22"/>
              <w:lang w:eastAsia="fi-FI"/>
            </w:rPr>
          </w:pPr>
          <w:hyperlink w:anchor="_Toc76110776" w:history="1">
            <w:r w:rsidR="009932F4" w:rsidRPr="00913A03">
              <w:rPr>
                <w:rStyle w:val="Hyperlink"/>
                <w:noProof/>
              </w:rPr>
              <w:t>2.2</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Tehokas tiheys</w:t>
            </w:r>
            <w:r w:rsidR="009932F4">
              <w:rPr>
                <w:noProof/>
                <w:webHidden/>
              </w:rPr>
              <w:tab/>
            </w:r>
            <w:r w:rsidR="009932F4">
              <w:rPr>
                <w:noProof/>
                <w:webHidden/>
              </w:rPr>
              <w:fldChar w:fldCharType="begin"/>
            </w:r>
            <w:r w:rsidR="009932F4">
              <w:rPr>
                <w:noProof/>
                <w:webHidden/>
              </w:rPr>
              <w:instrText xml:space="preserve"> PAGEREF _Toc76110776 \h </w:instrText>
            </w:r>
            <w:r w:rsidR="009932F4">
              <w:rPr>
                <w:noProof/>
                <w:webHidden/>
              </w:rPr>
            </w:r>
            <w:r w:rsidR="009932F4">
              <w:rPr>
                <w:noProof/>
                <w:webHidden/>
              </w:rPr>
              <w:fldChar w:fldCharType="separate"/>
            </w:r>
            <w:r w:rsidR="009932F4">
              <w:rPr>
                <w:noProof/>
                <w:webHidden/>
              </w:rPr>
              <w:t>11</w:t>
            </w:r>
            <w:r w:rsidR="009932F4">
              <w:rPr>
                <w:noProof/>
                <w:webHidden/>
              </w:rPr>
              <w:fldChar w:fldCharType="end"/>
            </w:r>
          </w:hyperlink>
        </w:p>
        <w:p w14:paraId="62AD55F0" w14:textId="74F97DD8" w:rsidR="009932F4" w:rsidRDefault="0040610B">
          <w:pPr>
            <w:pStyle w:val="TOC3"/>
            <w:tabs>
              <w:tab w:val="left" w:pos="2552"/>
            </w:tabs>
            <w:rPr>
              <w:rFonts w:asciiTheme="minorHAnsi" w:eastAsiaTheme="minorEastAsia" w:hAnsiTheme="minorHAnsi" w:cstheme="minorBidi"/>
              <w:bCs w:val="0"/>
              <w:noProof/>
              <w:sz w:val="22"/>
              <w:szCs w:val="22"/>
              <w:lang w:eastAsia="fi-FI"/>
            </w:rPr>
          </w:pPr>
          <w:hyperlink w:anchor="_Toc76110777" w:history="1">
            <w:r w:rsidR="009932F4" w:rsidRPr="00913A03">
              <w:rPr>
                <w:rStyle w:val="Hyperlink"/>
                <w:noProof/>
              </w:rPr>
              <w:t>2.2.1</w:t>
            </w:r>
            <w:r w:rsidR="009932F4">
              <w:rPr>
                <w:rFonts w:asciiTheme="minorHAnsi" w:eastAsiaTheme="minorEastAsia" w:hAnsiTheme="minorHAnsi" w:cstheme="minorBidi"/>
                <w:bCs w:val="0"/>
                <w:noProof/>
                <w:sz w:val="22"/>
                <w:szCs w:val="22"/>
                <w:lang w:eastAsia="fi-FI"/>
              </w:rPr>
              <w:tab/>
            </w:r>
            <w:r w:rsidR="009932F4" w:rsidRPr="00913A03">
              <w:rPr>
                <w:rStyle w:val="Hyperlink"/>
                <w:noProof/>
              </w:rPr>
              <w:t>Aluejako</w:t>
            </w:r>
            <w:r w:rsidR="009932F4">
              <w:rPr>
                <w:noProof/>
                <w:webHidden/>
              </w:rPr>
              <w:tab/>
            </w:r>
            <w:r w:rsidR="009932F4">
              <w:rPr>
                <w:noProof/>
                <w:webHidden/>
              </w:rPr>
              <w:fldChar w:fldCharType="begin"/>
            </w:r>
            <w:r w:rsidR="009932F4">
              <w:rPr>
                <w:noProof/>
                <w:webHidden/>
              </w:rPr>
              <w:instrText xml:space="preserve"> PAGEREF _Toc76110777 \h </w:instrText>
            </w:r>
            <w:r w:rsidR="009932F4">
              <w:rPr>
                <w:noProof/>
                <w:webHidden/>
              </w:rPr>
            </w:r>
            <w:r w:rsidR="009932F4">
              <w:rPr>
                <w:noProof/>
                <w:webHidden/>
              </w:rPr>
              <w:fldChar w:fldCharType="separate"/>
            </w:r>
            <w:r w:rsidR="009932F4">
              <w:rPr>
                <w:noProof/>
                <w:webHidden/>
              </w:rPr>
              <w:t>11</w:t>
            </w:r>
            <w:r w:rsidR="009932F4">
              <w:rPr>
                <w:noProof/>
                <w:webHidden/>
              </w:rPr>
              <w:fldChar w:fldCharType="end"/>
            </w:r>
          </w:hyperlink>
        </w:p>
        <w:p w14:paraId="2EC6C582" w14:textId="62EE8E10" w:rsidR="009932F4" w:rsidRDefault="0040610B">
          <w:pPr>
            <w:pStyle w:val="TOC3"/>
            <w:tabs>
              <w:tab w:val="left" w:pos="2552"/>
            </w:tabs>
            <w:rPr>
              <w:rFonts w:asciiTheme="minorHAnsi" w:eastAsiaTheme="minorEastAsia" w:hAnsiTheme="minorHAnsi" w:cstheme="minorBidi"/>
              <w:bCs w:val="0"/>
              <w:noProof/>
              <w:sz w:val="22"/>
              <w:szCs w:val="22"/>
              <w:lang w:eastAsia="fi-FI"/>
            </w:rPr>
          </w:pPr>
          <w:hyperlink w:anchor="_Toc76110778" w:history="1">
            <w:r w:rsidR="009932F4" w:rsidRPr="00913A03">
              <w:rPr>
                <w:rStyle w:val="Hyperlink"/>
                <w:noProof/>
              </w:rPr>
              <w:t>2.2.2</w:t>
            </w:r>
            <w:r w:rsidR="009932F4">
              <w:rPr>
                <w:rFonts w:asciiTheme="minorHAnsi" w:eastAsiaTheme="minorEastAsia" w:hAnsiTheme="minorHAnsi" w:cstheme="minorBidi"/>
                <w:bCs w:val="0"/>
                <w:noProof/>
                <w:sz w:val="22"/>
                <w:szCs w:val="22"/>
                <w:lang w:eastAsia="fi-FI"/>
              </w:rPr>
              <w:tab/>
            </w:r>
            <w:r w:rsidR="009932F4" w:rsidRPr="00913A03">
              <w:rPr>
                <w:rStyle w:val="Hyperlink"/>
                <w:noProof/>
              </w:rPr>
              <w:t>Taloudellinen massa</w:t>
            </w:r>
            <w:r w:rsidR="009932F4">
              <w:rPr>
                <w:noProof/>
                <w:webHidden/>
              </w:rPr>
              <w:tab/>
            </w:r>
            <w:r w:rsidR="009932F4">
              <w:rPr>
                <w:noProof/>
                <w:webHidden/>
              </w:rPr>
              <w:fldChar w:fldCharType="begin"/>
            </w:r>
            <w:r w:rsidR="009932F4">
              <w:rPr>
                <w:noProof/>
                <w:webHidden/>
              </w:rPr>
              <w:instrText xml:space="preserve"> PAGEREF _Toc76110778 \h </w:instrText>
            </w:r>
            <w:r w:rsidR="009932F4">
              <w:rPr>
                <w:noProof/>
                <w:webHidden/>
              </w:rPr>
            </w:r>
            <w:r w:rsidR="009932F4">
              <w:rPr>
                <w:noProof/>
                <w:webHidden/>
              </w:rPr>
              <w:fldChar w:fldCharType="separate"/>
            </w:r>
            <w:r w:rsidR="009932F4">
              <w:rPr>
                <w:noProof/>
                <w:webHidden/>
              </w:rPr>
              <w:t>12</w:t>
            </w:r>
            <w:r w:rsidR="009932F4">
              <w:rPr>
                <w:noProof/>
                <w:webHidden/>
              </w:rPr>
              <w:fldChar w:fldCharType="end"/>
            </w:r>
          </w:hyperlink>
        </w:p>
        <w:p w14:paraId="1A93E698" w14:textId="1CA1904A" w:rsidR="009932F4" w:rsidRDefault="0040610B">
          <w:pPr>
            <w:pStyle w:val="TOC3"/>
            <w:tabs>
              <w:tab w:val="left" w:pos="2552"/>
            </w:tabs>
            <w:rPr>
              <w:rFonts w:asciiTheme="minorHAnsi" w:eastAsiaTheme="minorEastAsia" w:hAnsiTheme="minorHAnsi" w:cstheme="minorBidi"/>
              <w:bCs w:val="0"/>
              <w:noProof/>
              <w:sz w:val="22"/>
              <w:szCs w:val="22"/>
              <w:lang w:eastAsia="fi-FI"/>
            </w:rPr>
          </w:pPr>
          <w:hyperlink w:anchor="_Toc76110779" w:history="1">
            <w:r w:rsidR="009932F4" w:rsidRPr="00913A03">
              <w:rPr>
                <w:rStyle w:val="Hyperlink"/>
                <w:noProof/>
              </w:rPr>
              <w:t>2.2.3</w:t>
            </w:r>
            <w:r w:rsidR="009932F4">
              <w:rPr>
                <w:rFonts w:asciiTheme="minorHAnsi" w:eastAsiaTheme="minorEastAsia" w:hAnsiTheme="minorHAnsi" w:cstheme="minorBidi"/>
                <w:bCs w:val="0"/>
                <w:noProof/>
                <w:sz w:val="22"/>
                <w:szCs w:val="22"/>
                <w:lang w:eastAsia="fi-FI"/>
              </w:rPr>
              <w:tab/>
            </w:r>
            <w:r w:rsidR="009932F4" w:rsidRPr="00913A03">
              <w:rPr>
                <w:rStyle w:val="Hyperlink"/>
                <w:noProof/>
              </w:rPr>
              <w:t>Etäisyysmitta</w:t>
            </w:r>
            <w:r w:rsidR="009932F4">
              <w:rPr>
                <w:noProof/>
                <w:webHidden/>
              </w:rPr>
              <w:tab/>
            </w:r>
            <w:r w:rsidR="009932F4">
              <w:rPr>
                <w:noProof/>
                <w:webHidden/>
              </w:rPr>
              <w:fldChar w:fldCharType="begin"/>
            </w:r>
            <w:r w:rsidR="009932F4">
              <w:rPr>
                <w:noProof/>
                <w:webHidden/>
              </w:rPr>
              <w:instrText xml:space="preserve"> PAGEREF _Toc76110779 \h </w:instrText>
            </w:r>
            <w:r w:rsidR="009932F4">
              <w:rPr>
                <w:noProof/>
                <w:webHidden/>
              </w:rPr>
            </w:r>
            <w:r w:rsidR="009932F4">
              <w:rPr>
                <w:noProof/>
                <w:webHidden/>
              </w:rPr>
              <w:fldChar w:fldCharType="separate"/>
            </w:r>
            <w:r w:rsidR="009932F4">
              <w:rPr>
                <w:noProof/>
                <w:webHidden/>
              </w:rPr>
              <w:t>13</w:t>
            </w:r>
            <w:r w:rsidR="009932F4">
              <w:rPr>
                <w:noProof/>
                <w:webHidden/>
              </w:rPr>
              <w:fldChar w:fldCharType="end"/>
            </w:r>
          </w:hyperlink>
        </w:p>
        <w:p w14:paraId="37020AF1" w14:textId="4ADB6F03" w:rsidR="009932F4" w:rsidRDefault="0040610B">
          <w:pPr>
            <w:pStyle w:val="TOC3"/>
            <w:tabs>
              <w:tab w:val="left" w:pos="2552"/>
            </w:tabs>
            <w:rPr>
              <w:rFonts w:asciiTheme="minorHAnsi" w:eastAsiaTheme="minorEastAsia" w:hAnsiTheme="minorHAnsi" w:cstheme="minorBidi"/>
              <w:bCs w:val="0"/>
              <w:noProof/>
              <w:sz w:val="22"/>
              <w:szCs w:val="22"/>
              <w:lang w:eastAsia="fi-FI"/>
            </w:rPr>
          </w:pPr>
          <w:hyperlink w:anchor="_Toc76110780" w:history="1">
            <w:r w:rsidR="009932F4" w:rsidRPr="00913A03">
              <w:rPr>
                <w:rStyle w:val="Hyperlink"/>
                <w:noProof/>
              </w:rPr>
              <w:t>2.2.4</w:t>
            </w:r>
            <w:r w:rsidR="009932F4">
              <w:rPr>
                <w:rFonts w:asciiTheme="minorHAnsi" w:eastAsiaTheme="minorEastAsia" w:hAnsiTheme="minorHAnsi" w:cstheme="minorBidi"/>
                <w:bCs w:val="0"/>
                <w:noProof/>
                <w:sz w:val="22"/>
                <w:szCs w:val="22"/>
                <w:lang w:eastAsia="fi-FI"/>
              </w:rPr>
              <w:tab/>
            </w:r>
            <w:r w:rsidR="009932F4" w:rsidRPr="00913A03">
              <w:rPr>
                <w:rStyle w:val="Hyperlink"/>
                <w:noProof/>
              </w:rPr>
              <w:t>Etäisyyden merkitys funktiona</w:t>
            </w:r>
            <w:r w:rsidR="009932F4">
              <w:rPr>
                <w:noProof/>
                <w:webHidden/>
              </w:rPr>
              <w:tab/>
            </w:r>
            <w:r w:rsidR="009932F4">
              <w:rPr>
                <w:noProof/>
                <w:webHidden/>
              </w:rPr>
              <w:fldChar w:fldCharType="begin"/>
            </w:r>
            <w:r w:rsidR="009932F4">
              <w:rPr>
                <w:noProof/>
                <w:webHidden/>
              </w:rPr>
              <w:instrText xml:space="preserve"> PAGEREF _Toc76110780 \h </w:instrText>
            </w:r>
            <w:r w:rsidR="009932F4">
              <w:rPr>
                <w:noProof/>
                <w:webHidden/>
              </w:rPr>
            </w:r>
            <w:r w:rsidR="009932F4">
              <w:rPr>
                <w:noProof/>
                <w:webHidden/>
              </w:rPr>
              <w:fldChar w:fldCharType="separate"/>
            </w:r>
            <w:r w:rsidR="009932F4">
              <w:rPr>
                <w:noProof/>
                <w:webHidden/>
              </w:rPr>
              <w:t>14</w:t>
            </w:r>
            <w:r w:rsidR="009932F4">
              <w:rPr>
                <w:noProof/>
                <w:webHidden/>
              </w:rPr>
              <w:fldChar w:fldCharType="end"/>
            </w:r>
          </w:hyperlink>
        </w:p>
        <w:p w14:paraId="646AA274" w14:textId="1E56E6B3" w:rsidR="009932F4" w:rsidRDefault="0040610B">
          <w:pPr>
            <w:pStyle w:val="TOC2"/>
            <w:rPr>
              <w:rFonts w:asciiTheme="minorHAnsi" w:eastAsiaTheme="minorEastAsia" w:hAnsiTheme="minorHAnsi" w:cstheme="minorBidi"/>
              <w:bCs w:val="0"/>
              <w:iCs w:val="0"/>
              <w:noProof/>
              <w:sz w:val="22"/>
              <w:szCs w:val="22"/>
              <w:lang w:eastAsia="fi-FI"/>
            </w:rPr>
          </w:pPr>
          <w:hyperlink w:anchor="_Toc76110781" w:history="1">
            <w:r w:rsidR="009932F4" w:rsidRPr="00913A03">
              <w:rPr>
                <w:rStyle w:val="Hyperlink"/>
                <w:noProof/>
              </w:rPr>
              <w:t>2.3</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Tehokkaan tiheyden mittari väylähankkeen arvioinnissa</w:t>
            </w:r>
            <w:r w:rsidR="009932F4">
              <w:rPr>
                <w:noProof/>
                <w:webHidden/>
              </w:rPr>
              <w:tab/>
            </w:r>
            <w:r w:rsidR="009932F4">
              <w:rPr>
                <w:noProof/>
                <w:webHidden/>
              </w:rPr>
              <w:fldChar w:fldCharType="begin"/>
            </w:r>
            <w:r w:rsidR="009932F4">
              <w:rPr>
                <w:noProof/>
                <w:webHidden/>
              </w:rPr>
              <w:instrText xml:space="preserve"> PAGEREF _Toc76110781 \h </w:instrText>
            </w:r>
            <w:r w:rsidR="009932F4">
              <w:rPr>
                <w:noProof/>
                <w:webHidden/>
              </w:rPr>
            </w:r>
            <w:r w:rsidR="009932F4">
              <w:rPr>
                <w:noProof/>
                <w:webHidden/>
              </w:rPr>
              <w:fldChar w:fldCharType="separate"/>
            </w:r>
            <w:r w:rsidR="009932F4">
              <w:rPr>
                <w:noProof/>
                <w:webHidden/>
              </w:rPr>
              <w:t>17</w:t>
            </w:r>
            <w:r w:rsidR="009932F4">
              <w:rPr>
                <w:noProof/>
                <w:webHidden/>
              </w:rPr>
              <w:fldChar w:fldCharType="end"/>
            </w:r>
          </w:hyperlink>
        </w:p>
        <w:p w14:paraId="69E73359" w14:textId="615E61C1" w:rsidR="009932F4" w:rsidRDefault="0040610B">
          <w:pPr>
            <w:pStyle w:val="TOC2"/>
            <w:rPr>
              <w:rFonts w:asciiTheme="minorHAnsi" w:eastAsiaTheme="minorEastAsia" w:hAnsiTheme="minorHAnsi" w:cstheme="minorBidi"/>
              <w:bCs w:val="0"/>
              <w:iCs w:val="0"/>
              <w:noProof/>
              <w:sz w:val="22"/>
              <w:szCs w:val="22"/>
              <w:lang w:eastAsia="fi-FI"/>
            </w:rPr>
          </w:pPr>
          <w:hyperlink w:anchor="_Toc76110782" w:history="1">
            <w:r w:rsidR="009932F4" w:rsidRPr="00913A03">
              <w:rPr>
                <w:rStyle w:val="Hyperlink"/>
                <w:noProof/>
              </w:rPr>
              <w:t>2.4</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Tehokkaan tiheyden ja tuottavuuden välinen jousto</w:t>
            </w:r>
            <w:r w:rsidR="009932F4">
              <w:rPr>
                <w:noProof/>
                <w:webHidden/>
              </w:rPr>
              <w:tab/>
            </w:r>
            <w:r w:rsidR="009932F4">
              <w:rPr>
                <w:noProof/>
                <w:webHidden/>
              </w:rPr>
              <w:fldChar w:fldCharType="begin"/>
            </w:r>
            <w:r w:rsidR="009932F4">
              <w:rPr>
                <w:noProof/>
                <w:webHidden/>
              </w:rPr>
              <w:instrText xml:space="preserve"> PAGEREF _Toc76110782 \h </w:instrText>
            </w:r>
            <w:r w:rsidR="009932F4">
              <w:rPr>
                <w:noProof/>
                <w:webHidden/>
              </w:rPr>
            </w:r>
            <w:r w:rsidR="009932F4">
              <w:rPr>
                <w:noProof/>
                <w:webHidden/>
              </w:rPr>
              <w:fldChar w:fldCharType="separate"/>
            </w:r>
            <w:r w:rsidR="009932F4">
              <w:rPr>
                <w:noProof/>
                <w:webHidden/>
              </w:rPr>
              <w:t>19</w:t>
            </w:r>
            <w:r w:rsidR="009932F4">
              <w:rPr>
                <w:noProof/>
                <w:webHidden/>
              </w:rPr>
              <w:fldChar w:fldCharType="end"/>
            </w:r>
          </w:hyperlink>
        </w:p>
        <w:p w14:paraId="65A9DD28" w14:textId="07D8B3FD" w:rsidR="009932F4" w:rsidRDefault="0040610B">
          <w:pPr>
            <w:pStyle w:val="TOC1"/>
            <w:rPr>
              <w:rFonts w:asciiTheme="minorHAnsi" w:eastAsiaTheme="minorEastAsia" w:hAnsiTheme="minorHAnsi" w:cstheme="minorBidi"/>
              <w:b w:val="0"/>
              <w:noProof/>
              <w:sz w:val="22"/>
              <w:szCs w:val="22"/>
              <w:lang w:eastAsia="fi-FI"/>
            </w:rPr>
          </w:pPr>
          <w:hyperlink w:anchor="_Toc76110783" w:history="1">
            <w:r w:rsidR="009932F4" w:rsidRPr="00913A03">
              <w:rPr>
                <w:rStyle w:val="Hyperlink"/>
                <w:noProof/>
              </w:rPr>
              <w:t>3</w:t>
            </w:r>
            <w:r w:rsidR="009932F4">
              <w:rPr>
                <w:rFonts w:asciiTheme="minorHAnsi" w:eastAsiaTheme="minorEastAsia" w:hAnsiTheme="minorHAnsi" w:cstheme="minorBidi"/>
                <w:b w:val="0"/>
                <w:noProof/>
                <w:sz w:val="22"/>
                <w:szCs w:val="22"/>
                <w:lang w:eastAsia="fi-FI"/>
              </w:rPr>
              <w:tab/>
            </w:r>
            <w:r w:rsidR="009932F4" w:rsidRPr="00913A03">
              <w:rPr>
                <w:rStyle w:val="Hyperlink"/>
                <w:noProof/>
              </w:rPr>
              <w:t>Tehokkaan tiheyden mittarin määrittäminen</w:t>
            </w:r>
            <w:r w:rsidR="009932F4">
              <w:rPr>
                <w:noProof/>
                <w:webHidden/>
              </w:rPr>
              <w:tab/>
            </w:r>
            <w:r w:rsidR="009932F4">
              <w:rPr>
                <w:noProof/>
                <w:webHidden/>
              </w:rPr>
              <w:fldChar w:fldCharType="begin"/>
            </w:r>
            <w:r w:rsidR="009932F4">
              <w:rPr>
                <w:noProof/>
                <w:webHidden/>
              </w:rPr>
              <w:instrText xml:space="preserve"> PAGEREF _Toc76110783 \h </w:instrText>
            </w:r>
            <w:r w:rsidR="009932F4">
              <w:rPr>
                <w:noProof/>
                <w:webHidden/>
              </w:rPr>
            </w:r>
            <w:r w:rsidR="009932F4">
              <w:rPr>
                <w:noProof/>
                <w:webHidden/>
              </w:rPr>
              <w:fldChar w:fldCharType="separate"/>
            </w:r>
            <w:r w:rsidR="009932F4">
              <w:rPr>
                <w:noProof/>
                <w:webHidden/>
              </w:rPr>
              <w:t>20</w:t>
            </w:r>
            <w:r w:rsidR="009932F4">
              <w:rPr>
                <w:noProof/>
                <w:webHidden/>
              </w:rPr>
              <w:fldChar w:fldCharType="end"/>
            </w:r>
          </w:hyperlink>
        </w:p>
        <w:p w14:paraId="40964317" w14:textId="2A76206E" w:rsidR="009932F4" w:rsidRDefault="0040610B">
          <w:pPr>
            <w:pStyle w:val="TOC2"/>
            <w:rPr>
              <w:rFonts w:asciiTheme="minorHAnsi" w:eastAsiaTheme="minorEastAsia" w:hAnsiTheme="minorHAnsi" w:cstheme="minorBidi"/>
              <w:bCs w:val="0"/>
              <w:iCs w:val="0"/>
              <w:noProof/>
              <w:sz w:val="22"/>
              <w:szCs w:val="22"/>
              <w:lang w:eastAsia="fi-FI"/>
            </w:rPr>
          </w:pPr>
          <w:hyperlink w:anchor="_Toc76110784" w:history="1">
            <w:r w:rsidR="009932F4" w:rsidRPr="00913A03">
              <w:rPr>
                <w:rStyle w:val="Hyperlink"/>
                <w:noProof/>
              </w:rPr>
              <w:t>3.1</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Tehokkaan tiheyden malli</w:t>
            </w:r>
            <w:r w:rsidR="009932F4">
              <w:rPr>
                <w:noProof/>
                <w:webHidden/>
              </w:rPr>
              <w:tab/>
            </w:r>
            <w:r w:rsidR="009932F4">
              <w:rPr>
                <w:noProof/>
                <w:webHidden/>
              </w:rPr>
              <w:fldChar w:fldCharType="begin"/>
            </w:r>
            <w:r w:rsidR="009932F4">
              <w:rPr>
                <w:noProof/>
                <w:webHidden/>
              </w:rPr>
              <w:instrText xml:space="preserve"> PAGEREF _Toc76110784 \h </w:instrText>
            </w:r>
            <w:r w:rsidR="009932F4">
              <w:rPr>
                <w:noProof/>
                <w:webHidden/>
              </w:rPr>
            </w:r>
            <w:r w:rsidR="009932F4">
              <w:rPr>
                <w:noProof/>
                <w:webHidden/>
              </w:rPr>
              <w:fldChar w:fldCharType="separate"/>
            </w:r>
            <w:r w:rsidR="009932F4">
              <w:rPr>
                <w:noProof/>
                <w:webHidden/>
              </w:rPr>
              <w:t>20</w:t>
            </w:r>
            <w:r w:rsidR="009932F4">
              <w:rPr>
                <w:noProof/>
                <w:webHidden/>
              </w:rPr>
              <w:fldChar w:fldCharType="end"/>
            </w:r>
          </w:hyperlink>
        </w:p>
        <w:p w14:paraId="5F9890FC" w14:textId="7CDE8585" w:rsidR="009932F4" w:rsidRDefault="0040610B">
          <w:pPr>
            <w:pStyle w:val="TOC2"/>
            <w:rPr>
              <w:rFonts w:asciiTheme="minorHAnsi" w:eastAsiaTheme="minorEastAsia" w:hAnsiTheme="minorHAnsi" w:cstheme="minorBidi"/>
              <w:bCs w:val="0"/>
              <w:iCs w:val="0"/>
              <w:noProof/>
              <w:sz w:val="22"/>
              <w:szCs w:val="22"/>
              <w:lang w:eastAsia="fi-FI"/>
            </w:rPr>
          </w:pPr>
          <w:hyperlink w:anchor="_Toc76110785" w:history="1">
            <w:r w:rsidR="009932F4" w:rsidRPr="00913A03">
              <w:rPr>
                <w:rStyle w:val="Hyperlink"/>
                <w:noProof/>
              </w:rPr>
              <w:t>3.2</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Aluejako</w:t>
            </w:r>
            <w:r w:rsidR="009932F4">
              <w:rPr>
                <w:noProof/>
                <w:webHidden/>
              </w:rPr>
              <w:tab/>
            </w:r>
            <w:r w:rsidR="009932F4">
              <w:rPr>
                <w:noProof/>
                <w:webHidden/>
              </w:rPr>
              <w:fldChar w:fldCharType="begin"/>
            </w:r>
            <w:r w:rsidR="009932F4">
              <w:rPr>
                <w:noProof/>
                <w:webHidden/>
              </w:rPr>
              <w:instrText xml:space="preserve"> PAGEREF _Toc76110785 \h </w:instrText>
            </w:r>
            <w:r w:rsidR="009932F4">
              <w:rPr>
                <w:noProof/>
                <w:webHidden/>
              </w:rPr>
            </w:r>
            <w:r w:rsidR="009932F4">
              <w:rPr>
                <w:noProof/>
                <w:webHidden/>
              </w:rPr>
              <w:fldChar w:fldCharType="separate"/>
            </w:r>
            <w:r w:rsidR="009932F4">
              <w:rPr>
                <w:noProof/>
                <w:webHidden/>
              </w:rPr>
              <w:t>20</w:t>
            </w:r>
            <w:r w:rsidR="009932F4">
              <w:rPr>
                <w:noProof/>
                <w:webHidden/>
              </w:rPr>
              <w:fldChar w:fldCharType="end"/>
            </w:r>
          </w:hyperlink>
        </w:p>
        <w:p w14:paraId="7AFF0642" w14:textId="329C23A2" w:rsidR="009932F4" w:rsidRDefault="0040610B">
          <w:pPr>
            <w:pStyle w:val="TOC2"/>
            <w:rPr>
              <w:rFonts w:asciiTheme="minorHAnsi" w:eastAsiaTheme="minorEastAsia" w:hAnsiTheme="minorHAnsi" w:cstheme="minorBidi"/>
              <w:bCs w:val="0"/>
              <w:iCs w:val="0"/>
              <w:noProof/>
              <w:sz w:val="22"/>
              <w:szCs w:val="22"/>
              <w:lang w:eastAsia="fi-FI"/>
            </w:rPr>
          </w:pPr>
          <w:hyperlink w:anchor="_Toc76110786" w:history="1">
            <w:r w:rsidR="009932F4" w:rsidRPr="00913A03">
              <w:rPr>
                <w:rStyle w:val="Hyperlink"/>
                <w:noProof/>
              </w:rPr>
              <w:t>3.3</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Taloudellinen massa</w:t>
            </w:r>
            <w:r w:rsidR="009932F4">
              <w:rPr>
                <w:noProof/>
                <w:webHidden/>
              </w:rPr>
              <w:tab/>
            </w:r>
            <w:r w:rsidR="009932F4">
              <w:rPr>
                <w:noProof/>
                <w:webHidden/>
              </w:rPr>
              <w:fldChar w:fldCharType="begin"/>
            </w:r>
            <w:r w:rsidR="009932F4">
              <w:rPr>
                <w:noProof/>
                <w:webHidden/>
              </w:rPr>
              <w:instrText xml:space="preserve"> PAGEREF _Toc76110786 \h </w:instrText>
            </w:r>
            <w:r w:rsidR="009932F4">
              <w:rPr>
                <w:noProof/>
                <w:webHidden/>
              </w:rPr>
            </w:r>
            <w:r w:rsidR="009932F4">
              <w:rPr>
                <w:noProof/>
                <w:webHidden/>
              </w:rPr>
              <w:fldChar w:fldCharType="separate"/>
            </w:r>
            <w:r w:rsidR="009932F4">
              <w:rPr>
                <w:noProof/>
                <w:webHidden/>
              </w:rPr>
              <w:t>20</w:t>
            </w:r>
            <w:r w:rsidR="009932F4">
              <w:rPr>
                <w:noProof/>
                <w:webHidden/>
              </w:rPr>
              <w:fldChar w:fldCharType="end"/>
            </w:r>
          </w:hyperlink>
        </w:p>
        <w:p w14:paraId="24A015B4" w14:textId="181A1A59" w:rsidR="009932F4" w:rsidRDefault="0040610B">
          <w:pPr>
            <w:pStyle w:val="TOC2"/>
            <w:rPr>
              <w:rFonts w:asciiTheme="minorHAnsi" w:eastAsiaTheme="minorEastAsia" w:hAnsiTheme="minorHAnsi" w:cstheme="minorBidi"/>
              <w:bCs w:val="0"/>
              <w:iCs w:val="0"/>
              <w:noProof/>
              <w:sz w:val="22"/>
              <w:szCs w:val="22"/>
              <w:lang w:eastAsia="fi-FI"/>
            </w:rPr>
          </w:pPr>
          <w:hyperlink w:anchor="_Toc76110787" w:history="1">
            <w:r w:rsidR="009932F4" w:rsidRPr="00913A03">
              <w:rPr>
                <w:rStyle w:val="Hyperlink"/>
                <w:noProof/>
              </w:rPr>
              <w:t>3.4</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Etäisyysmitta</w:t>
            </w:r>
            <w:r w:rsidR="009932F4">
              <w:rPr>
                <w:noProof/>
                <w:webHidden/>
              </w:rPr>
              <w:tab/>
            </w:r>
            <w:r w:rsidR="009932F4">
              <w:rPr>
                <w:noProof/>
                <w:webHidden/>
              </w:rPr>
              <w:fldChar w:fldCharType="begin"/>
            </w:r>
            <w:r w:rsidR="009932F4">
              <w:rPr>
                <w:noProof/>
                <w:webHidden/>
              </w:rPr>
              <w:instrText xml:space="preserve"> PAGEREF _Toc76110787 \h </w:instrText>
            </w:r>
            <w:r w:rsidR="009932F4">
              <w:rPr>
                <w:noProof/>
                <w:webHidden/>
              </w:rPr>
            </w:r>
            <w:r w:rsidR="009932F4">
              <w:rPr>
                <w:noProof/>
                <w:webHidden/>
              </w:rPr>
              <w:fldChar w:fldCharType="separate"/>
            </w:r>
            <w:r w:rsidR="009932F4">
              <w:rPr>
                <w:noProof/>
                <w:webHidden/>
              </w:rPr>
              <w:t>21</w:t>
            </w:r>
            <w:r w:rsidR="009932F4">
              <w:rPr>
                <w:noProof/>
                <w:webHidden/>
              </w:rPr>
              <w:fldChar w:fldCharType="end"/>
            </w:r>
          </w:hyperlink>
        </w:p>
        <w:p w14:paraId="2C6D5A75" w14:textId="011D35CB" w:rsidR="009932F4" w:rsidRDefault="0040610B">
          <w:pPr>
            <w:pStyle w:val="TOC2"/>
            <w:rPr>
              <w:rFonts w:asciiTheme="minorHAnsi" w:eastAsiaTheme="minorEastAsia" w:hAnsiTheme="minorHAnsi" w:cstheme="minorBidi"/>
              <w:bCs w:val="0"/>
              <w:iCs w:val="0"/>
              <w:noProof/>
              <w:sz w:val="22"/>
              <w:szCs w:val="22"/>
              <w:lang w:eastAsia="fi-FI"/>
            </w:rPr>
          </w:pPr>
          <w:hyperlink w:anchor="_Toc76110788" w:history="1">
            <w:r w:rsidR="009932F4" w:rsidRPr="00913A03">
              <w:rPr>
                <w:rStyle w:val="Hyperlink"/>
                <w:noProof/>
              </w:rPr>
              <w:t>3.5</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Etäisyyden merkitys funktiona</w:t>
            </w:r>
            <w:r w:rsidR="009932F4">
              <w:rPr>
                <w:noProof/>
                <w:webHidden/>
              </w:rPr>
              <w:tab/>
            </w:r>
            <w:r w:rsidR="009932F4">
              <w:rPr>
                <w:noProof/>
                <w:webHidden/>
              </w:rPr>
              <w:fldChar w:fldCharType="begin"/>
            </w:r>
            <w:r w:rsidR="009932F4">
              <w:rPr>
                <w:noProof/>
                <w:webHidden/>
              </w:rPr>
              <w:instrText xml:space="preserve"> PAGEREF _Toc76110788 \h </w:instrText>
            </w:r>
            <w:r w:rsidR="009932F4">
              <w:rPr>
                <w:noProof/>
                <w:webHidden/>
              </w:rPr>
            </w:r>
            <w:r w:rsidR="009932F4">
              <w:rPr>
                <w:noProof/>
                <w:webHidden/>
              </w:rPr>
              <w:fldChar w:fldCharType="separate"/>
            </w:r>
            <w:r w:rsidR="009932F4">
              <w:rPr>
                <w:noProof/>
                <w:webHidden/>
              </w:rPr>
              <w:t>21</w:t>
            </w:r>
            <w:r w:rsidR="009932F4">
              <w:rPr>
                <w:noProof/>
                <w:webHidden/>
              </w:rPr>
              <w:fldChar w:fldCharType="end"/>
            </w:r>
          </w:hyperlink>
        </w:p>
        <w:p w14:paraId="7A33F997" w14:textId="0188326B" w:rsidR="009932F4" w:rsidRDefault="0040610B">
          <w:pPr>
            <w:pStyle w:val="TOC1"/>
            <w:rPr>
              <w:rFonts w:asciiTheme="minorHAnsi" w:eastAsiaTheme="minorEastAsia" w:hAnsiTheme="minorHAnsi" w:cstheme="minorBidi"/>
              <w:b w:val="0"/>
              <w:noProof/>
              <w:sz w:val="22"/>
              <w:szCs w:val="22"/>
              <w:lang w:eastAsia="fi-FI"/>
            </w:rPr>
          </w:pPr>
          <w:hyperlink w:anchor="_Toc76110789" w:history="1">
            <w:r w:rsidR="009932F4" w:rsidRPr="00913A03">
              <w:rPr>
                <w:rStyle w:val="Hyperlink"/>
                <w:noProof/>
              </w:rPr>
              <w:t>4</w:t>
            </w:r>
            <w:r w:rsidR="009932F4">
              <w:rPr>
                <w:rFonts w:asciiTheme="minorHAnsi" w:eastAsiaTheme="minorEastAsia" w:hAnsiTheme="minorHAnsi" w:cstheme="minorBidi"/>
                <w:b w:val="0"/>
                <w:noProof/>
                <w:sz w:val="22"/>
                <w:szCs w:val="22"/>
                <w:lang w:eastAsia="fi-FI"/>
              </w:rPr>
              <w:tab/>
            </w:r>
            <w:r w:rsidR="009932F4" w:rsidRPr="00913A03">
              <w:rPr>
                <w:rStyle w:val="Hyperlink"/>
                <w:noProof/>
              </w:rPr>
              <w:t>Mittarin testaus ja esimerkkiarvot</w:t>
            </w:r>
            <w:r w:rsidR="009932F4">
              <w:rPr>
                <w:noProof/>
                <w:webHidden/>
              </w:rPr>
              <w:tab/>
            </w:r>
            <w:r w:rsidR="009932F4">
              <w:rPr>
                <w:noProof/>
                <w:webHidden/>
              </w:rPr>
              <w:fldChar w:fldCharType="begin"/>
            </w:r>
            <w:r w:rsidR="009932F4">
              <w:rPr>
                <w:noProof/>
                <w:webHidden/>
              </w:rPr>
              <w:instrText xml:space="preserve"> PAGEREF _Toc76110789 \h </w:instrText>
            </w:r>
            <w:r w:rsidR="009932F4">
              <w:rPr>
                <w:noProof/>
                <w:webHidden/>
              </w:rPr>
            </w:r>
            <w:r w:rsidR="009932F4">
              <w:rPr>
                <w:noProof/>
                <w:webHidden/>
              </w:rPr>
              <w:fldChar w:fldCharType="separate"/>
            </w:r>
            <w:r w:rsidR="009932F4">
              <w:rPr>
                <w:noProof/>
                <w:webHidden/>
              </w:rPr>
              <w:t>22</w:t>
            </w:r>
            <w:r w:rsidR="009932F4">
              <w:rPr>
                <w:noProof/>
                <w:webHidden/>
              </w:rPr>
              <w:fldChar w:fldCharType="end"/>
            </w:r>
          </w:hyperlink>
        </w:p>
        <w:p w14:paraId="36FB13D0" w14:textId="15D2D797" w:rsidR="009932F4" w:rsidRDefault="0040610B">
          <w:pPr>
            <w:pStyle w:val="TOC2"/>
            <w:rPr>
              <w:rFonts w:asciiTheme="minorHAnsi" w:eastAsiaTheme="minorEastAsia" w:hAnsiTheme="minorHAnsi" w:cstheme="minorBidi"/>
              <w:bCs w:val="0"/>
              <w:iCs w:val="0"/>
              <w:noProof/>
              <w:sz w:val="22"/>
              <w:szCs w:val="22"/>
              <w:lang w:eastAsia="fi-FI"/>
            </w:rPr>
          </w:pPr>
          <w:hyperlink w:anchor="_Toc76110790" w:history="1">
            <w:r w:rsidR="009932F4" w:rsidRPr="00913A03">
              <w:rPr>
                <w:rStyle w:val="Hyperlink"/>
                <w:noProof/>
              </w:rPr>
              <w:t>4.1</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Helsingin seutu</w:t>
            </w:r>
            <w:r w:rsidR="009932F4">
              <w:rPr>
                <w:noProof/>
                <w:webHidden/>
              </w:rPr>
              <w:tab/>
            </w:r>
            <w:r w:rsidR="009932F4">
              <w:rPr>
                <w:noProof/>
                <w:webHidden/>
              </w:rPr>
              <w:fldChar w:fldCharType="begin"/>
            </w:r>
            <w:r w:rsidR="009932F4">
              <w:rPr>
                <w:noProof/>
                <w:webHidden/>
              </w:rPr>
              <w:instrText xml:space="preserve"> PAGEREF _Toc76110790 \h </w:instrText>
            </w:r>
            <w:r w:rsidR="009932F4">
              <w:rPr>
                <w:noProof/>
                <w:webHidden/>
              </w:rPr>
            </w:r>
            <w:r w:rsidR="009932F4">
              <w:rPr>
                <w:noProof/>
                <w:webHidden/>
              </w:rPr>
              <w:fldChar w:fldCharType="separate"/>
            </w:r>
            <w:r w:rsidR="009932F4">
              <w:rPr>
                <w:noProof/>
                <w:webHidden/>
              </w:rPr>
              <w:t>22</w:t>
            </w:r>
            <w:r w:rsidR="009932F4">
              <w:rPr>
                <w:noProof/>
                <w:webHidden/>
              </w:rPr>
              <w:fldChar w:fldCharType="end"/>
            </w:r>
          </w:hyperlink>
        </w:p>
        <w:p w14:paraId="5933D313" w14:textId="2E305F61" w:rsidR="009932F4" w:rsidRDefault="0040610B">
          <w:pPr>
            <w:pStyle w:val="TOC3"/>
            <w:tabs>
              <w:tab w:val="left" w:pos="2552"/>
            </w:tabs>
            <w:rPr>
              <w:rFonts w:asciiTheme="minorHAnsi" w:eastAsiaTheme="minorEastAsia" w:hAnsiTheme="minorHAnsi" w:cstheme="minorBidi"/>
              <w:bCs w:val="0"/>
              <w:noProof/>
              <w:sz w:val="22"/>
              <w:szCs w:val="22"/>
              <w:lang w:eastAsia="fi-FI"/>
            </w:rPr>
          </w:pPr>
          <w:hyperlink w:anchor="_Toc76110791" w:history="1">
            <w:r w:rsidR="009932F4" w:rsidRPr="00913A03">
              <w:rPr>
                <w:rStyle w:val="Hyperlink"/>
                <w:noProof/>
              </w:rPr>
              <w:t>4.1.1</w:t>
            </w:r>
            <w:r w:rsidR="009932F4">
              <w:rPr>
                <w:rFonts w:asciiTheme="minorHAnsi" w:eastAsiaTheme="minorEastAsia" w:hAnsiTheme="minorHAnsi" w:cstheme="minorBidi"/>
                <w:bCs w:val="0"/>
                <w:noProof/>
                <w:sz w:val="22"/>
                <w:szCs w:val="22"/>
                <w:lang w:eastAsia="fi-FI"/>
              </w:rPr>
              <w:tab/>
            </w:r>
            <w:r w:rsidR="009932F4" w:rsidRPr="00913A03">
              <w:rPr>
                <w:rStyle w:val="Hyperlink"/>
                <w:noProof/>
              </w:rPr>
              <w:t>Tehokkaan tiheyden arvot</w:t>
            </w:r>
            <w:r w:rsidR="009932F4">
              <w:rPr>
                <w:noProof/>
                <w:webHidden/>
              </w:rPr>
              <w:tab/>
            </w:r>
            <w:r w:rsidR="009932F4">
              <w:rPr>
                <w:noProof/>
                <w:webHidden/>
              </w:rPr>
              <w:fldChar w:fldCharType="begin"/>
            </w:r>
            <w:r w:rsidR="009932F4">
              <w:rPr>
                <w:noProof/>
                <w:webHidden/>
              </w:rPr>
              <w:instrText xml:space="preserve"> PAGEREF _Toc76110791 \h </w:instrText>
            </w:r>
            <w:r w:rsidR="009932F4">
              <w:rPr>
                <w:noProof/>
                <w:webHidden/>
              </w:rPr>
            </w:r>
            <w:r w:rsidR="009932F4">
              <w:rPr>
                <w:noProof/>
                <w:webHidden/>
              </w:rPr>
              <w:fldChar w:fldCharType="separate"/>
            </w:r>
            <w:r w:rsidR="009932F4">
              <w:rPr>
                <w:noProof/>
                <w:webHidden/>
              </w:rPr>
              <w:t>22</w:t>
            </w:r>
            <w:r w:rsidR="009932F4">
              <w:rPr>
                <w:noProof/>
                <w:webHidden/>
              </w:rPr>
              <w:fldChar w:fldCharType="end"/>
            </w:r>
          </w:hyperlink>
        </w:p>
        <w:p w14:paraId="343568CE" w14:textId="6826C6D7" w:rsidR="009932F4" w:rsidRDefault="0040610B">
          <w:pPr>
            <w:pStyle w:val="TOC3"/>
            <w:tabs>
              <w:tab w:val="left" w:pos="2552"/>
            </w:tabs>
            <w:rPr>
              <w:rFonts w:asciiTheme="minorHAnsi" w:eastAsiaTheme="minorEastAsia" w:hAnsiTheme="minorHAnsi" w:cstheme="minorBidi"/>
              <w:bCs w:val="0"/>
              <w:noProof/>
              <w:sz w:val="22"/>
              <w:szCs w:val="22"/>
              <w:lang w:eastAsia="fi-FI"/>
            </w:rPr>
          </w:pPr>
          <w:hyperlink w:anchor="_Toc76110792" w:history="1">
            <w:r w:rsidR="009932F4" w:rsidRPr="00913A03">
              <w:rPr>
                <w:rStyle w:val="Hyperlink"/>
                <w:noProof/>
              </w:rPr>
              <w:t>4.1.2</w:t>
            </w:r>
            <w:r w:rsidR="009932F4">
              <w:rPr>
                <w:rFonts w:asciiTheme="minorHAnsi" w:eastAsiaTheme="minorEastAsia" w:hAnsiTheme="minorHAnsi" w:cstheme="minorBidi"/>
                <w:bCs w:val="0"/>
                <w:noProof/>
                <w:sz w:val="22"/>
                <w:szCs w:val="22"/>
                <w:lang w:eastAsia="fi-FI"/>
              </w:rPr>
              <w:tab/>
            </w:r>
            <w:r w:rsidR="009932F4" w:rsidRPr="00913A03">
              <w:rPr>
                <w:rStyle w:val="Hyperlink"/>
                <w:noProof/>
              </w:rPr>
              <w:t>Tehokkaan tiheyden muutos 2016–2020–2030</w:t>
            </w:r>
            <w:r w:rsidR="009932F4">
              <w:rPr>
                <w:noProof/>
                <w:webHidden/>
              </w:rPr>
              <w:tab/>
            </w:r>
            <w:r w:rsidR="009932F4">
              <w:rPr>
                <w:noProof/>
                <w:webHidden/>
              </w:rPr>
              <w:fldChar w:fldCharType="begin"/>
            </w:r>
            <w:r w:rsidR="009932F4">
              <w:rPr>
                <w:noProof/>
                <w:webHidden/>
              </w:rPr>
              <w:instrText xml:space="preserve"> PAGEREF _Toc76110792 \h </w:instrText>
            </w:r>
            <w:r w:rsidR="009932F4">
              <w:rPr>
                <w:noProof/>
                <w:webHidden/>
              </w:rPr>
            </w:r>
            <w:r w:rsidR="009932F4">
              <w:rPr>
                <w:noProof/>
                <w:webHidden/>
              </w:rPr>
              <w:fldChar w:fldCharType="separate"/>
            </w:r>
            <w:r w:rsidR="009932F4">
              <w:rPr>
                <w:noProof/>
                <w:webHidden/>
              </w:rPr>
              <w:t>24</w:t>
            </w:r>
            <w:r w:rsidR="009932F4">
              <w:rPr>
                <w:noProof/>
                <w:webHidden/>
              </w:rPr>
              <w:fldChar w:fldCharType="end"/>
            </w:r>
          </w:hyperlink>
        </w:p>
        <w:p w14:paraId="000265B4" w14:textId="696CEBC9" w:rsidR="009932F4" w:rsidRDefault="0040610B">
          <w:pPr>
            <w:pStyle w:val="TOC3"/>
            <w:tabs>
              <w:tab w:val="left" w:pos="2552"/>
            </w:tabs>
            <w:rPr>
              <w:rFonts w:asciiTheme="minorHAnsi" w:eastAsiaTheme="minorEastAsia" w:hAnsiTheme="minorHAnsi" w:cstheme="minorBidi"/>
              <w:bCs w:val="0"/>
              <w:noProof/>
              <w:sz w:val="22"/>
              <w:szCs w:val="22"/>
              <w:lang w:eastAsia="fi-FI"/>
            </w:rPr>
          </w:pPr>
          <w:hyperlink w:anchor="_Toc76110793" w:history="1">
            <w:r w:rsidR="009932F4" w:rsidRPr="00913A03">
              <w:rPr>
                <w:rStyle w:val="Hyperlink"/>
                <w:noProof/>
              </w:rPr>
              <w:t>4.1.3</w:t>
            </w:r>
            <w:r w:rsidR="009932F4">
              <w:rPr>
                <w:rFonts w:asciiTheme="minorHAnsi" w:eastAsiaTheme="minorEastAsia" w:hAnsiTheme="minorHAnsi" w:cstheme="minorBidi"/>
                <w:bCs w:val="0"/>
                <w:noProof/>
                <w:sz w:val="22"/>
                <w:szCs w:val="22"/>
                <w:lang w:eastAsia="fi-FI"/>
              </w:rPr>
              <w:tab/>
            </w:r>
            <w:r w:rsidR="009932F4" w:rsidRPr="00913A03">
              <w:rPr>
                <w:rStyle w:val="Hyperlink"/>
                <w:noProof/>
              </w:rPr>
              <w:t>Aluejaon merkitys</w:t>
            </w:r>
            <w:r w:rsidR="009932F4">
              <w:rPr>
                <w:noProof/>
                <w:webHidden/>
              </w:rPr>
              <w:tab/>
            </w:r>
            <w:r w:rsidR="009932F4">
              <w:rPr>
                <w:noProof/>
                <w:webHidden/>
              </w:rPr>
              <w:fldChar w:fldCharType="begin"/>
            </w:r>
            <w:r w:rsidR="009932F4">
              <w:rPr>
                <w:noProof/>
                <w:webHidden/>
              </w:rPr>
              <w:instrText xml:space="preserve"> PAGEREF _Toc76110793 \h </w:instrText>
            </w:r>
            <w:r w:rsidR="009932F4">
              <w:rPr>
                <w:noProof/>
                <w:webHidden/>
              </w:rPr>
            </w:r>
            <w:r w:rsidR="009932F4">
              <w:rPr>
                <w:noProof/>
                <w:webHidden/>
              </w:rPr>
              <w:fldChar w:fldCharType="separate"/>
            </w:r>
            <w:r w:rsidR="009932F4">
              <w:rPr>
                <w:noProof/>
                <w:webHidden/>
              </w:rPr>
              <w:t>29</w:t>
            </w:r>
            <w:r w:rsidR="009932F4">
              <w:rPr>
                <w:noProof/>
                <w:webHidden/>
              </w:rPr>
              <w:fldChar w:fldCharType="end"/>
            </w:r>
          </w:hyperlink>
        </w:p>
        <w:p w14:paraId="77046D13" w14:textId="12E458B6" w:rsidR="009932F4" w:rsidRDefault="0040610B">
          <w:pPr>
            <w:pStyle w:val="TOC2"/>
            <w:rPr>
              <w:rFonts w:asciiTheme="minorHAnsi" w:eastAsiaTheme="minorEastAsia" w:hAnsiTheme="minorHAnsi" w:cstheme="minorBidi"/>
              <w:bCs w:val="0"/>
              <w:iCs w:val="0"/>
              <w:noProof/>
              <w:sz w:val="22"/>
              <w:szCs w:val="22"/>
              <w:lang w:eastAsia="fi-FI"/>
            </w:rPr>
          </w:pPr>
          <w:hyperlink w:anchor="_Toc76110794" w:history="1">
            <w:r w:rsidR="009932F4" w:rsidRPr="00913A03">
              <w:rPr>
                <w:rStyle w:val="Hyperlink"/>
                <w:noProof/>
              </w:rPr>
              <w:t>4.2</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Valtakunnan taso</w:t>
            </w:r>
            <w:r w:rsidR="009932F4">
              <w:rPr>
                <w:noProof/>
                <w:webHidden/>
              </w:rPr>
              <w:tab/>
            </w:r>
            <w:r w:rsidR="009932F4">
              <w:rPr>
                <w:noProof/>
                <w:webHidden/>
              </w:rPr>
              <w:fldChar w:fldCharType="begin"/>
            </w:r>
            <w:r w:rsidR="009932F4">
              <w:rPr>
                <w:noProof/>
                <w:webHidden/>
              </w:rPr>
              <w:instrText xml:space="preserve"> PAGEREF _Toc76110794 \h </w:instrText>
            </w:r>
            <w:r w:rsidR="009932F4">
              <w:rPr>
                <w:noProof/>
                <w:webHidden/>
              </w:rPr>
            </w:r>
            <w:r w:rsidR="009932F4">
              <w:rPr>
                <w:noProof/>
                <w:webHidden/>
              </w:rPr>
              <w:fldChar w:fldCharType="separate"/>
            </w:r>
            <w:r w:rsidR="009932F4">
              <w:rPr>
                <w:noProof/>
                <w:webHidden/>
              </w:rPr>
              <w:t>31</w:t>
            </w:r>
            <w:r w:rsidR="009932F4">
              <w:rPr>
                <w:noProof/>
                <w:webHidden/>
              </w:rPr>
              <w:fldChar w:fldCharType="end"/>
            </w:r>
          </w:hyperlink>
        </w:p>
        <w:p w14:paraId="7FD96511" w14:textId="10DFEE6B" w:rsidR="009932F4" w:rsidRDefault="0040610B">
          <w:pPr>
            <w:pStyle w:val="TOC3"/>
            <w:tabs>
              <w:tab w:val="left" w:pos="2552"/>
            </w:tabs>
            <w:rPr>
              <w:rFonts w:asciiTheme="minorHAnsi" w:eastAsiaTheme="minorEastAsia" w:hAnsiTheme="minorHAnsi" w:cstheme="minorBidi"/>
              <w:bCs w:val="0"/>
              <w:noProof/>
              <w:sz w:val="22"/>
              <w:szCs w:val="22"/>
              <w:lang w:eastAsia="fi-FI"/>
            </w:rPr>
          </w:pPr>
          <w:hyperlink w:anchor="_Toc76110795" w:history="1">
            <w:r w:rsidR="009932F4" w:rsidRPr="00913A03">
              <w:rPr>
                <w:rStyle w:val="Hyperlink"/>
                <w:noProof/>
              </w:rPr>
              <w:t>4.2.1</w:t>
            </w:r>
            <w:r w:rsidR="009932F4">
              <w:rPr>
                <w:rFonts w:asciiTheme="minorHAnsi" w:eastAsiaTheme="minorEastAsia" w:hAnsiTheme="minorHAnsi" w:cstheme="minorBidi"/>
                <w:bCs w:val="0"/>
                <w:noProof/>
                <w:sz w:val="22"/>
                <w:szCs w:val="22"/>
                <w:lang w:eastAsia="fi-FI"/>
              </w:rPr>
              <w:tab/>
            </w:r>
            <w:r w:rsidR="009932F4" w:rsidRPr="00913A03">
              <w:rPr>
                <w:rStyle w:val="Hyperlink"/>
                <w:noProof/>
              </w:rPr>
              <w:t>Tehokkaan tiheyden arvot</w:t>
            </w:r>
            <w:r w:rsidR="009932F4">
              <w:rPr>
                <w:noProof/>
                <w:webHidden/>
              </w:rPr>
              <w:tab/>
            </w:r>
            <w:r w:rsidR="009932F4">
              <w:rPr>
                <w:noProof/>
                <w:webHidden/>
              </w:rPr>
              <w:fldChar w:fldCharType="begin"/>
            </w:r>
            <w:r w:rsidR="009932F4">
              <w:rPr>
                <w:noProof/>
                <w:webHidden/>
              </w:rPr>
              <w:instrText xml:space="preserve"> PAGEREF _Toc76110795 \h </w:instrText>
            </w:r>
            <w:r w:rsidR="009932F4">
              <w:rPr>
                <w:noProof/>
                <w:webHidden/>
              </w:rPr>
            </w:r>
            <w:r w:rsidR="009932F4">
              <w:rPr>
                <w:noProof/>
                <w:webHidden/>
              </w:rPr>
              <w:fldChar w:fldCharType="separate"/>
            </w:r>
            <w:r w:rsidR="009932F4">
              <w:rPr>
                <w:noProof/>
                <w:webHidden/>
              </w:rPr>
              <w:t>31</w:t>
            </w:r>
            <w:r w:rsidR="009932F4">
              <w:rPr>
                <w:noProof/>
                <w:webHidden/>
              </w:rPr>
              <w:fldChar w:fldCharType="end"/>
            </w:r>
          </w:hyperlink>
        </w:p>
        <w:p w14:paraId="52072BD8" w14:textId="704F7119" w:rsidR="009932F4" w:rsidRDefault="0040610B">
          <w:pPr>
            <w:pStyle w:val="TOC3"/>
            <w:tabs>
              <w:tab w:val="left" w:pos="2552"/>
            </w:tabs>
            <w:rPr>
              <w:rFonts w:asciiTheme="minorHAnsi" w:eastAsiaTheme="minorEastAsia" w:hAnsiTheme="minorHAnsi" w:cstheme="minorBidi"/>
              <w:bCs w:val="0"/>
              <w:noProof/>
              <w:sz w:val="22"/>
              <w:szCs w:val="22"/>
              <w:lang w:eastAsia="fi-FI"/>
            </w:rPr>
          </w:pPr>
          <w:hyperlink w:anchor="_Toc76110796" w:history="1">
            <w:r w:rsidR="009932F4" w:rsidRPr="00913A03">
              <w:rPr>
                <w:rStyle w:val="Hyperlink"/>
                <w:noProof/>
              </w:rPr>
              <w:t>4.2.2</w:t>
            </w:r>
            <w:r w:rsidR="009932F4">
              <w:rPr>
                <w:rFonts w:asciiTheme="minorHAnsi" w:eastAsiaTheme="minorEastAsia" w:hAnsiTheme="minorHAnsi" w:cstheme="minorBidi"/>
                <w:bCs w:val="0"/>
                <w:noProof/>
                <w:sz w:val="22"/>
                <w:szCs w:val="22"/>
                <w:lang w:eastAsia="fi-FI"/>
              </w:rPr>
              <w:tab/>
            </w:r>
            <w:r w:rsidR="009932F4" w:rsidRPr="00913A03">
              <w:rPr>
                <w:rStyle w:val="Hyperlink"/>
                <w:noProof/>
              </w:rPr>
              <w:t>Tehokkaan tiheyden muutos 2016–2030</w:t>
            </w:r>
            <w:r w:rsidR="009932F4">
              <w:rPr>
                <w:noProof/>
                <w:webHidden/>
              </w:rPr>
              <w:tab/>
            </w:r>
            <w:r w:rsidR="009932F4">
              <w:rPr>
                <w:noProof/>
                <w:webHidden/>
              </w:rPr>
              <w:fldChar w:fldCharType="begin"/>
            </w:r>
            <w:r w:rsidR="009932F4">
              <w:rPr>
                <w:noProof/>
                <w:webHidden/>
              </w:rPr>
              <w:instrText xml:space="preserve"> PAGEREF _Toc76110796 \h </w:instrText>
            </w:r>
            <w:r w:rsidR="009932F4">
              <w:rPr>
                <w:noProof/>
                <w:webHidden/>
              </w:rPr>
            </w:r>
            <w:r w:rsidR="009932F4">
              <w:rPr>
                <w:noProof/>
                <w:webHidden/>
              </w:rPr>
              <w:fldChar w:fldCharType="separate"/>
            </w:r>
            <w:r w:rsidR="009932F4">
              <w:rPr>
                <w:noProof/>
                <w:webHidden/>
              </w:rPr>
              <w:t>32</w:t>
            </w:r>
            <w:r w:rsidR="009932F4">
              <w:rPr>
                <w:noProof/>
                <w:webHidden/>
              </w:rPr>
              <w:fldChar w:fldCharType="end"/>
            </w:r>
          </w:hyperlink>
        </w:p>
        <w:p w14:paraId="7829E23F" w14:textId="1E104FEA" w:rsidR="009932F4" w:rsidRDefault="0040610B">
          <w:pPr>
            <w:pStyle w:val="TOC1"/>
            <w:rPr>
              <w:rFonts w:asciiTheme="minorHAnsi" w:eastAsiaTheme="minorEastAsia" w:hAnsiTheme="minorHAnsi" w:cstheme="minorBidi"/>
              <w:b w:val="0"/>
              <w:noProof/>
              <w:sz w:val="22"/>
              <w:szCs w:val="22"/>
              <w:lang w:eastAsia="fi-FI"/>
            </w:rPr>
          </w:pPr>
          <w:hyperlink w:anchor="_Toc76110797" w:history="1">
            <w:r w:rsidR="009932F4" w:rsidRPr="00913A03">
              <w:rPr>
                <w:rStyle w:val="Hyperlink"/>
                <w:noProof/>
              </w:rPr>
              <w:t>5</w:t>
            </w:r>
            <w:r w:rsidR="009932F4">
              <w:rPr>
                <w:rFonts w:asciiTheme="minorHAnsi" w:eastAsiaTheme="minorEastAsia" w:hAnsiTheme="minorHAnsi" w:cstheme="minorBidi"/>
                <w:b w:val="0"/>
                <w:noProof/>
                <w:sz w:val="22"/>
                <w:szCs w:val="22"/>
                <w:lang w:eastAsia="fi-FI"/>
              </w:rPr>
              <w:tab/>
            </w:r>
            <w:r w:rsidR="009932F4" w:rsidRPr="00913A03">
              <w:rPr>
                <w:rStyle w:val="Hyperlink"/>
                <w:noProof/>
              </w:rPr>
              <w:t>Joustotutkimuksen suunnitelma</w:t>
            </w:r>
            <w:r w:rsidR="009932F4">
              <w:rPr>
                <w:noProof/>
                <w:webHidden/>
              </w:rPr>
              <w:tab/>
            </w:r>
            <w:r w:rsidR="009932F4">
              <w:rPr>
                <w:noProof/>
                <w:webHidden/>
              </w:rPr>
              <w:fldChar w:fldCharType="begin"/>
            </w:r>
            <w:r w:rsidR="009932F4">
              <w:rPr>
                <w:noProof/>
                <w:webHidden/>
              </w:rPr>
              <w:instrText xml:space="preserve"> PAGEREF _Toc76110797 \h </w:instrText>
            </w:r>
            <w:r w:rsidR="009932F4">
              <w:rPr>
                <w:noProof/>
                <w:webHidden/>
              </w:rPr>
            </w:r>
            <w:r w:rsidR="009932F4">
              <w:rPr>
                <w:noProof/>
                <w:webHidden/>
              </w:rPr>
              <w:fldChar w:fldCharType="separate"/>
            </w:r>
            <w:r w:rsidR="009932F4">
              <w:rPr>
                <w:noProof/>
                <w:webHidden/>
              </w:rPr>
              <w:t>34</w:t>
            </w:r>
            <w:r w:rsidR="009932F4">
              <w:rPr>
                <w:noProof/>
                <w:webHidden/>
              </w:rPr>
              <w:fldChar w:fldCharType="end"/>
            </w:r>
          </w:hyperlink>
        </w:p>
        <w:p w14:paraId="79D9707C" w14:textId="356CE9B1" w:rsidR="009932F4" w:rsidRDefault="0040610B">
          <w:pPr>
            <w:pStyle w:val="TOC2"/>
            <w:rPr>
              <w:rFonts w:asciiTheme="minorHAnsi" w:eastAsiaTheme="minorEastAsia" w:hAnsiTheme="minorHAnsi" w:cstheme="minorBidi"/>
              <w:bCs w:val="0"/>
              <w:iCs w:val="0"/>
              <w:noProof/>
              <w:sz w:val="22"/>
              <w:szCs w:val="22"/>
              <w:lang w:eastAsia="fi-FI"/>
            </w:rPr>
          </w:pPr>
          <w:hyperlink w:anchor="_Toc76110798" w:history="1">
            <w:r w:rsidR="009932F4" w:rsidRPr="00913A03">
              <w:rPr>
                <w:rStyle w:val="Hyperlink"/>
                <w:noProof/>
              </w:rPr>
              <w:t>5.1</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Joustotutkimuksen tavoite</w:t>
            </w:r>
            <w:r w:rsidR="009932F4">
              <w:rPr>
                <w:noProof/>
                <w:webHidden/>
              </w:rPr>
              <w:tab/>
            </w:r>
            <w:r w:rsidR="009932F4">
              <w:rPr>
                <w:noProof/>
                <w:webHidden/>
              </w:rPr>
              <w:fldChar w:fldCharType="begin"/>
            </w:r>
            <w:r w:rsidR="009932F4">
              <w:rPr>
                <w:noProof/>
                <w:webHidden/>
              </w:rPr>
              <w:instrText xml:space="preserve"> PAGEREF _Toc76110798 \h </w:instrText>
            </w:r>
            <w:r w:rsidR="009932F4">
              <w:rPr>
                <w:noProof/>
                <w:webHidden/>
              </w:rPr>
            </w:r>
            <w:r w:rsidR="009932F4">
              <w:rPr>
                <w:noProof/>
                <w:webHidden/>
              </w:rPr>
              <w:fldChar w:fldCharType="separate"/>
            </w:r>
            <w:r w:rsidR="009932F4">
              <w:rPr>
                <w:noProof/>
                <w:webHidden/>
              </w:rPr>
              <w:t>34</w:t>
            </w:r>
            <w:r w:rsidR="009932F4">
              <w:rPr>
                <w:noProof/>
                <w:webHidden/>
              </w:rPr>
              <w:fldChar w:fldCharType="end"/>
            </w:r>
          </w:hyperlink>
        </w:p>
        <w:p w14:paraId="25BD50F1" w14:textId="5DD734BE" w:rsidR="009932F4" w:rsidRDefault="0040610B">
          <w:pPr>
            <w:pStyle w:val="TOC2"/>
            <w:rPr>
              <w:rFonts w:asciiTheme="minorHAnsi" w:eastAsiaTheme="minorEastAsia" w:hAnsiTheme="minorHAnsi" w:cstheme="minorBidi"/>
              <w:bCs w:val="0"/>
              <w:iCs w:val="0"/>
              <w:noProof/>
              <w:sz w:val="22"/>
              <w:szCs w:val="22"/>
              <w:lang w:eastAsia="fi-FI"/>
            </w:rPr>
          </w:pPr>
          <w:hyperlink w:anchor="_Toc76110799" w:history="1">
            <w:r w:rsidR="009932F4" w:rsidRPr="00913A03">
              <w:rPr>
                <w:rStyle w:val="Hyperlink"/>
                <w:noProof/>
              </w:rPr>
              <w:t>5.2</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Joustotutkimuksen sisällöllisiä kysymyksiä</w:t>
            </w:r>
            <w:r w:rsidR="009932F4">
              <w:rPr>
                <w:noProof/>
                <w:webHidden/>
              </w:rPr>
              <w:tab/>
            </w:r>
            <w:r w:rsidR="009932F4">
              <w:rPr>
                <w:noProof/>
                <w:webHidden/>
              </w:rPr>
              <w:fldChar w:fldCharType="begin"/>
            </w:r>
            <w:r w:rsidR="009932F4">
              <w:rPr>
                <w:noProof/>
                <w:webHidden/>
              </w:rPr>
              <w:instrText xml:space="preserve"> PAGEREF _Toc76110799 \h </w:instrText>
            </w:r>
            <w:r w:rsidR="009932F4">
              <w:rPr>
                <w:noProof/>
                <w:webHidden/>
              </w:rPr>
            </w:r>
            <w:r w:rsidR="009932F4">
              <w:rPr>
                <w:noProof/>
                <w:webHidden/>
              </w:rPr>
              <w:fldChar w:fldCharType="separate"/>
            </w:r>
            <w:r w:rsidR="009932F4">
              <w:rPr>
                <w:noProof/>
                <w:webHidden/>
              </w:rPr>
              <w:t>34</w:t>
            </w:r>
            <w:r w:rsidR="009932F4">
              <w:rPr>
                <w:noProof/>
                <w:webHidden/>
              </w:rPr>
              <w:fldChar w:fldCharType="end"/>
            </w:r>
          </w:hyperlink>
        </w:p>
        <w:p w14:paraId="6AD6E5D2" w14:textId="3637011F" w:rsidR="009932F4" w:rsidRDefault="0040610B">
          <w:pPr>
            <w:pStyle w:val="TOC3"/>
            <w:tabs>
              <w:tab w:val="left" w:pos="2552"/>
            </w:tabs>
            <w:rPr>
              <w:rFonts w:asciiTheme="minorHAnsi" w:eastAsiaTheme="minorEastAsia" w:hAnsiTheme="minorHAnsi" w:cstheme="minorBidi"/>
              <w:bCs w:val="0"/>
              <w:noProof/>
              <w:sz w:val="22"/>
              <w:szCs w:val="22"/>
              <w:lang w:eastAsia="fi-FI"/>
            </w:rPr>
          </w:pPr>
          <w:hyperlink w:anchor="_Toc76110800" w:history="1">
            <w:r w:rsidR="009932F4" w:rsidRPr="00913A03">
              <w:rPr>
                <w:rStyle w:val="Hyperlink"/>
                <w:noProof/>
              </w:rPr>
              <w:t>5.2.1</w:t>
            </w:r>
            <w:r w:rsidR="009932F4">
              <w:rPr>
                <w:rFonts w:asciiTheme="minorHAnsi" w:eastAsiaTheme="minorEastAsia" w:hAnsiTheme="minorHAnsi" w:cstheme="minorBidi"/>
                <w:bCs w:val="0"/>
                <w:noProof/>
                <w:sz w:val="22"/>
                <w:szCs w:val="22"/>
                <w:lang w:eastAsia="fi-FI"/>
              </w:rPr>
              <w:tab/>
            </w:r>
            <w:r w:rsidR="009932F4" w:rsidRPr="00913A03">
              <w:rPr>
                <w:rStyle w:val="Hyperlink"/>
                <w:noProof/>
              </w:rPr>
              <w:t>Estimointimenetelmä</w:t>
            </w:r>
            <w:r w:rsidR="009932F4">
              <w:rPr>
                <w:noProof/>
                <w:webHidden/>
              </w:rPr>
              <w:tab/>
            </w:r>
            <w:r w:rsidR="009932F4">
              <w:rPr>
                <w:noProof/>
                <w:webHidden/>
              </w:rPr>
              <w:fldChar w:fldCharType="begin"/>
            </w:r>
            <w:r w:rsidR="009932F4">
              <w:rPr>
                <w:noProof/>
                <w:webHidden/>
              </w:rPr>
              <w:instrText xml:space="preserve"> PAGEREF _Toc76110800 \h </w:instrText>
            </w:r>
            <w:r w:rsidR="009932F4">
              <w:rPr>
                <w:noProof/>
                <w:webHidden/>
              </w:rPr>
            </w:r>
            <w:r w:rsidR="009932F4">
              <w:rPr>
                <w:noProof/>
                <w:webHidden/>
              </w:rPr>
              <w:fldChar w:fldCharType="separate"/>
            </w:r>
            <w:r w:rsidR="009932F4">
              <w:rPr>
                <w:noProof/>
                <w:webHidden/>
              </w:rPr>
              <w:t>34</w:t>
            </w:r>
            <w:r w:rsidR="009932F4">
              <w:rPr>
                <w:noProof/>
                <w:webHidden/>
              </w:rPr>
              <w:fldChar w:fldCharType="end"/>
            </w:r>
          </w:hyperlink>
        </w:p>
        <w:p w14:paraId="513B92F0" w14:textId="67DD2DCF" w:rsidR="009932F4" w:rsidRDefault="0040610B">
          <w:pPr>
            <w:pStyle w:val="TOC3"/>
            <w:tabs>
              <w:tab w:val="left" w:pos="2552"/>
            </w:tabs>
            <w:rPr>
              <w:rFonts w:asciiTheme="minorHAnsi" w:eastAsiaTheme="minorEastAsia" w:hAnsiTheme="minorHAnsi" w:cstheme="minorBidi"/>
              <w:bCs w:val="0"/>
              <w:noProof/>
              <w:sz w:val="22"/>
              <w:szCs w:val="22"/>
              <w:lang w:eastAsia="fi-FI"/>
            </w:rPr>
          </w:pPr>
          <w:hyperlink w:anchor="_Toc76110801" w:history="1">
            <w:r w:rsidR="009932F4" w:rsidRPr="00913A03">
              <w:rPr>
                <w:rStyle w:val="Hyperlink"/>
                <w:noProof/>
              </w:rPr>
              <w:t>5.2.2</w:t>
            </w:r>
            <w:r w:rsidR="009932F4">
              <w:rPr>
                <w:rFonts w:asciiTheme="minorHAnsi" w:eastAsiaTheme="minorEastAsia" w:hAnsiTheme="minorHAnsi" w:cstheme="minorBidi"/>
                <w:bCs w:val="0"/>
                <w:noProof/>
                <w:sz w:val="22"/>
                <w:szCs w:val="22"/>
                <w:lang w:eastAsia="fi-FI"/>
              </w:rPr>
              <w:tab/>
            </w:r>
            <w:r w:rsidR="009932F4" w:rsidRPr="00913A03">
              <w:rPr>
                <w:rStyle w:val="Hyperlink"/>
                <w:noProof/>
              </w:rPr>
              <w:t>Käytettävät aineistot</w:t>
            </w:r>
            <w:r w:rsidR="009932F4">
              <w:rPr>
                <w:noProof/>
                <w:webHidden/>
              </w:rPr>
              <w:tab/>
            </w:r>
            <w:r w:rsidR="009932F4">
              <w:rPr>
                <w:noProof/>
                <w:webHidden/>
              </w:rPr>
              <w:fldChar w:fldCharType="begin"/>
            </w:r>
            <w:r w:rsidR="009932F4">
              <w:rPr>
                <w:noProof/>
                <w:webHidden/>
              </w:rPr>
              <w:instrText xml:space="preserve"> PAGEREF _Toc76110801 \h </w:instrText>
            </w:r>
            <w:r w:rsidR="009932F4">
              <w:rPr>
                <w:noProof/>
                <w:webHidden/>
              </w:rPr>
            </w:r>
            <w:r w:rsidR="009932F4">
              <w:rPr>
                <w:noProof/>
                <w:webHidden/>
              </w:rPr>
              <w:fldChar w:fldCharType="separate"/>
            </w:r>
            <w:r w:rsidR="009932F4">
              <w:rPr>
                <w:noProof/>
                <w:webHidden/>
              </w:rPr>
              <w:t>35</w:t>
            </w:r>
            <w:r w:rsidR="009932F4">
              <w:rPr>
                <w:noProof/>
                <w:webHidden/>
              </w:rPr>
              <w:fldChar w:fldCharType="end"/>
            </w:r>
          </w:hyperlink>
        </w:p>
        <w:p w14:paraId="7580DF85" w14:textId="223F5C2A" w:rsidR="009932F4" w:rsidRDefault="0040610B">
          <w:pPr>
            <w:pStyle w:val="TOC1"/>
            <w:rPr>
              <w:rFonts w:asciiTheme="minorHAnsi" w:eastAsiaTheme="minorEastAsia" w:hAnsiTheme="minorHAnsi" w:cstheme="minorBidi"/>
              <w:b w:val="0"/>
              <w:noProof/>
              <w:sz w:val="22"/>
              <w:szCs w:val="22"/>
              <w:lang w:eastAsia="fi-FI"/>
            </w:rPr>
          </w:pPr>
          <w:hyperlink w:anchor="_Toc76110802" w:history="1">
            <w:r w:rsidR="009932F4" w:rsidRPr="00913A03">
              <w:rPr>
                <w:rStyle w:val="Hyperlink"/>
                <w:noProof/>
              </w:rPr>
              <w:t>6</w:t>
            </w:r>
            <w:r w:rsidR="009932F4">
              <w:rPr>
                <w:rFonts w:asciiTheme="minorHAnsi" w:eastAsiaTheme="minorEastAsia" w:hAnsiTheme="minorHAnsi" w:cstheme="minorBidi"/>
                <w:b w:val="0"/>
                <w:noProof/>
                <w:sz w:val="22"/>
                <w:szCs w:val="22"/>
                <w:lang w:eastAsia="fi-FI"/>
              </w:rPr>
              <w:tab/>
            </w:r>
            <w:r w:rsidR="009932F4" w:rsidRPr="00913A03">
              <w:rPr>
                <w:rStyle w:val="Hyperlink"/>
                <w:noProof/>
              </w:rPr>
              <w:t>Yhteenveto, päätelmät ja suositukset</w:t>
            </w:r>
            <w:r w:rsidR="009932F4">
              <w:rPr>
                <w:noProof/>
                <w:webHidden/>
              </w:rPr>
              <w:tab/>
            </w:r>
            <w:r w:rsidR="009932F4">
              <w:rPr>
                <w:noProof/>
                <w:webHidden/>
              </w:rPr>
              <w:fldChar w:fldCharType="begin"/>
            </w:r>
            <w:r w:rsidR="009932F4">
              <w:rPr>
                <w:noProof/>
                <w:webHidden/>
              </w:rPr>
              <w:instrText xml:space="preserve"> PAGEREF _Toc76110802 \h </w:instrText>
            </w:r>
            <w:r w:rsidR="009932F4">
              <w:rPr>
                <w:noProof/>
                <w:webHidden/>
              </w:rPr>
            </w:r>
            <w:r w:rsidR="009932F4">
              <w:rPr>
                <w:noProof/>
                <w:webHidden/>
              </w:rPr>
              <w:fldChar w:fldCharType="separate"/>
            </w:r>
            <w:r w:rsidR="009932F4">
              <w:rPr>
                <w:noProof/>
                <w:webHidden/>
              </w:rPr>
              <w:t>36</w:t>
            </w:r>
            <w:r w:rsidR="009932F4">
              <w:rPr>
                <w:noProof/>
                <w:webHidden/>
              </w:rPr>
              <w:fldChar w:fldCharType="end"/>
            </w:r>
          </w:hyperlink>
        </w:p>
        <w:p w14:paraId="6C0BE574" w14:textId="29F2C928" w:rsidR="009932F4" w:rsidRDefault="0040610B">
          <w:pPr>
            <w:pStyle w:val="TOC2"/>
            <w:rPr>
              <w:rFonts w:asciiTheme="minorHAnsi" w:eastAsiaTheme="minorEastAsia" w:hAnsiTheme="minorHAnsi" w:cstheme="minorBidi"/>
              <w:bCs w:val="0"/>
              <w:iCs w:val="0"/>
              <w:noProof/>
              <w:sz w:val="22"/>
              <w:szCs w:val="22"/>
              <w:lang w:eastAsia="fi-FI"/>
            </w:rPr>
          </w:pPr>
          <w:hyperlink w:anchor="_Toc76110803" w:history="1">
            <w:r w:rsidR="009932F4" w:rsidRPr="00913A03">
              <w:rPr>
                <w:rStyle w:val="Hyperlink"/>
                <w:noProof/>
              </w:rPr>
              <w:t>6.1</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Työn tavoitteet ja sisältö</w:t>
            </w:r>
            <w:r w:rsidR="009932F4">
              <w:rPr>
                <w:noProof/>
                <w:webHidden/>
              </w:rPr>
              <w:tab/>
            </w:r>
            <w:r w:rsidR="009932F4">
              <w:rPr>
                <w:noProof/>
                <w:webHidden/>
              </w:rPr>
              <w:fldChar w:fldCharType="begin"/>
            </w:r>
            <w:r w:rsidR="009932F4">
              <w:rPr>
                <w:noProof/>
                <w:webHidden/>
              </w:rPr>
              <w:instrText xml:space="preserve"> PAGEREF _Toc76110803 \h </w:instrText>
            </w:r>
            <w:r w:rsidR="009932F4">
              <w:rPr>
                <w:noProof/>
                <w:webHidden/>
              </w:rPr>
            </w:r>
            <w:r w:rsidR="009932F4">
              <w:rPr>
                <w:noProof/>
                <w:webHidden/>
              </w:rPr>
              <w:fldChar w:fldCharType="separate"/>
            </w:r>
            <w:r w:rsidR="009932F4">
              <w:rPr>
                <w:noProof/>
                <w:webHidden/>
              </w:rPr>
              <w:t>36</w:t>
            </w:r>
            <w:r w:rsidR="009932F4">
              <w:rPr>
                <w:noProof/>
                <w:webHidden/>
              </w:rPr>
              <w:fldChar w:fldCharType="end"/>
            </w:r>
          </w:hyperlink>
        </w:p>
        <w:p w14:paraId="1F6E81F6" w14:textId="4A87D057" w:rsidR="009932F4" w:rsidRDefault="0040610B">
          <w:pPr>
            <w:pStyle w:val="TOC2"/>
            <w:rPr>
              <w:rFonts w:asciiTheme="minorHAnsi" w:eastAsiaTheme="minorEastAsia" w:hAnsiTheme="minorHAnsi" w:cstheme="minorBidi"/>
              <w:bCs w:val="0"/>
              <w:iCs w:val="0"/>
              <w:noProof/>
              <w:sz w:val="22"/>
              <w:szCs w:val="22"/>
              <w:lang w:eastAsia="fi-FI"/>
            </w:rPr>
          </w:pPr>
          <w:hyperlink w:anchor="_Toc76110804" w:history="1">
            <w:r w:rsidR="009932F4" w:rsidRPr="00913A03">
              <w:rPr>
                <w:rStyle w:val="Hyperlink"/>
                <w:noProof/>
              </w:rPr>
              <w:t>6.2</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Kasautumisen mittaaminen ja tehokas tiheys kirjallisuudessa</w:t>
            </w:r>
            <w:r w:rsidR="009932F4">
              <w:rPr>
                <w:noProof/>
                <w:webHidden/>
              </w:rPr>
              <w:tab/>
            </w:r>
            <w:r w:rsidR="009932F4">
              <w:rPr>
                <w:noProof/>
                <w:webHidden/>
              </w:rPr>
              <w:fldChar w:fldCharType="begin"/>
            </w:r>
            <w:r w:rsidR="009932F4">
              <w:rPr>
                <w:noProof/>
                <w:webHidden/>
              </w:rPr>
              <w:instrText xml:space="preserve"> PAGEREF _Toc76110804 \h </w:instrText>
            </w:r>
            <w:r w:rsidR="009932F4">
              <w:rPr>
                <w:noProof/>
                <w:webHidden/>
              </w:rPr>
            </w:r>
            <w:r w:rsidR="009932F4">
              <w:rPr>
                <w:noProof/>
                <w:webHidden/>
              </w:rPr>
              <w:fldChar w:fldCharType="separate"/>
            </w:r>
            <w:r w:rsidR="009932F4">
              <w:rPr>
                <w:noProof/>
                <w:webHidden/>
              </w:rPr>
              <w:t>36</w:t>
            </w:r>
            <w:r w:rsidR="009932F4">
              <w:rPr>
                <w:noProof/>
                <w:webHidden/>
              </w:rPr>
              <w:fldChar w:fldCharType="end"/>
            </w:r>
          </w:hyperlink>
        </w:p>
        <w:p w14:paraId="6D7C86B7" w14:textId="6B71DF6C" w:rsidR="009932F4" w:rsidRDefault="0040610B">
          <w:pPr>
            <w:pStyle w:val="TOC2"/>
            <w:rPr>
              <w:rFonts w:asciiTheme="minorHAnsi" w:eastAsiaTheme="minorEastAsia" w:hAnsiTheme="minorHAnsi" w:cstheme="minorBidi"/>
              <w:bCs w:val="0"/>
              <w:iCs w:val="0"/>
              <w:noProof/>
              <w:sz w:val="22"/>
              <w:szCs w:val="22"/>
              <w:lang w:eastAsia="fi-FI"/>
            </w:rPr>
          </w:pPr>
          <w:hyperlink w:anchor="_Toc76110805" w:history="1">
            <w:r w:rsidR="009932F4" w:rsidRPr="00913A03">
              <w:rPr>
                <w:rStyle w:val="Hyperlink"/>
                <w:noProof/>
              </w:rPr>
              <w:t>6.3</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Tehokkaan tiheyden mittarin määrittäminen Suomeen</w:t>
            </w:r>
            <w:r w:rsidR="009932F4">
              <w:rPr>
                <w:noProof/>
                <w:webHidden/>
              </w:rPr>
              <w:tab/>
            </w:r>
            <w:r w:rsidR="009932F4">
              <w:rPr>
                <w:noProof/>
                <w:webHidden/>
              </w:rPr>
              <w:fldChar w:fldCharType="begin"/>
            </w:r>
            <w:r w:rsidR="009932F4">
              <w:rPr>
                <w:noProof/>
                <w:webHidden/>
              </w:rPr>
              <w:instrText xml:space="preserve"> PAGEREF _Toc76110805 \h </w:instrText>
            </w:r>
            <w:r w:rsidR="009932F4">
              <w:rPr>
                <w:noProof/>
                <w:webHidden/>
              </w:rPr>
            </w:r>
            <w:r w:rsidR="009932F4">
              <w:rPr>
                <w:noProof/>
                <w:webHidden/>
              </w:rPr>
              <w:fldChar w:fldCharType="separate"/>
            </w:r>
            <w:r w:rsidR="009932F4">
              <w:rPr>
                <w:noProof/>
                <w:webHidden/>
              </w:rPr>
              <w:t>37</w:t>
            </w:r>
            <w:r w:rsidR="009932F4">
              <w:rPr>
                <w:noProof/>
                <w:webHidden/>
              </w:rPr>
              <w:fldChar w:fldCharType="end"/>
            </w:r>
          </w:hyperlink>
        </w:p>
        <w:p w14:paraId="5D491E34" w14:textId="6943EE4F" w:rsidR="009932F4" w:rsidRDefault="0040610B">
          <w:pPr>
            <w:pStyle w:val="TOC2"/>
            <w:rPr>
              <w:rFonts w:asciiTheme="minorHAnsi" w:eastAsiaTheme="minorEastAsia" w:hAnsiTheme="minorHAnsi" w:cstheme="minorBidi"/>
              <w:bCs w:val="0"/>
              <w:iCs w:val="0"/>
              <w:noProof/>
              <w:sz w:val="22"/>
              <w:szCs w:val="22"/>
              <w:lang w:eastAsia="fi-FI"/>
            </w:rPr>
          </w:pPr>
          <w:hyperlink w:anchor="_Toc76110806" w:history="1">
            <w:r w:rsidR="009932F4" w:rsidRPr="00913A03">
              <w:rPr>
                <w:rStyle w:val="Hyperlink"/>
                <w:noProof/>
              </w:rPr>
              <w:t>6.4</w:t>
            </w:r>
            <w:r w:rsidR="009932F4">
              <w:rPr>
                <w:rFonts w:asciiTheme="minorHAnsi" w:eastAsiaTheme="minorEastAsia" w:hAnsiTheme="minorHAnsi" w:cstheme="minorBidi"/>
                <w:bCs w:val="0"/>
                <w:iCs w:val="0"/>
                <w:noProof/>
                <w:sz w:val="22"/>
                <w:szCs w:val="22"/>
                <w:lang w:eastAsia="fi-FI"/>
              </w:rPr>
              <w:tab/>
            </w:r>
            <w:r w:rsidR="009932F4" w:rsidRPr="00913A03">
              <w:rPr>
                <w:rStyle w:val="Hyperlink"/>
                <w:noProof/>
              </w:rPr>
              <w:t>Suositukset jatkotoimista</w:t>
            </w:r>
            <w:r w:rsidR="009932F4">
              <w:rPr>
                <w:noProof/>
                <w:webHidden/>
              </w:rPr>
              <w:tab/>
            </w:r>
            <w:r w:rsidR="009932F4">
              <w:rPr>
                <w:noProof/>
                <w:webHidden/>
              </w:rPr>
              <w:fldChar w:fldCharType="begin"/>
            </w:r>
            <w:r w:rsidR="009932F4">
              <w:rPr>
                <w:noProof/>
                <w:webHidden/>
              </w:rPr>
              <w:instrText xml:space="preserve"> PAGEREF _Toc76110806 \h </w:instrText>
            </w:r>
            <w:r w:rsidR="009932F4">
              <w:rPr>
                <w:noProof/>
                <w:webHidden/>
              </w:rPr>
            </w:r>
            <w:r w:rsidR="009932F4">
              <w:rPr>
                <w:noProof/>
                <w:webHidden/>
              </w:rPr>
              <w:fldChar w:fldCharType="separate"/>
            </w:r>
            <w:r w:rsidR="009932F4">
              <w:rPr>
                <w:noProof/>
                <w:webHidden/>
              </w:rPr>
              <w:t>38</w:t>
            </w:r>
            <w:r w:rsidR="009932F4">
              <w:rPr>
                <w:noProof/>
                <w:webHidden/>
              </w:rPr>
              <w:fldChar w:fldCharType="end"/>
            </w:r>
          </w:hyperlink>
        </w:p>
        <w:p w14:paraId="59189751" w14:textId="71EA74BD" w:rsidR="009932F4" w:rsidRDefault="0040610B">
          <w:pPr>
            <w:pStyle w:val="TOC1"/>
            <w:rPr>
              <w:rFonts w:asciiTheme="minorHAnsi" w:eastAsiaTheme="minorEastAsia" w:hAnsiTheme="minorHAnsi" w:cstheme="minorBidi"/>
              <w:b w:val="0"/>
              <w:noProof/>
              <w:sz w:val="22"/>
              <w:szCs w:val="22"/>
              <w:lang w:eastAsia="fi-FI"/>
            </w:rPr>
          </w:pPr>
          <w:hyperlink w:anchor="_Toc76110807" w:history="1">
            <w:r w:rsidR="009932F4" w:rsidRPr="00913A03">
              <w:rPr>
                <w:rStyle w:val="Hyperlink"/>
                <w:noProof/>
              </w:rPr>
              <w:t>7</w:t>
            </w:r>
            <w:r w:rsidR="009932F4">
              <w:rPr>
                <w:rFonts w:asciiTheme="minorHAnsi" w:eastAsiaTheme="minorEastAsia" w:hAnsiTheme="minorHAnsi" w:cstheme="minorBidi"/>
                <w:b w:val="0"/>
                <w:noProof/>
                <w:sz w:val="22"/>
                <w:szCs w:val="22"/>
                <w:lang w:eastAsia="fi-FI"/>
              </w:rPr>
              <w:tab/>
            </w:r>
            <w:r w:rsidR="009932F4" w:rsidRPr="00913A03">
              <w:rPr>
                <w:rStyle w:val="Hyperlink"/>
                <w:noProof/>
              </w:rPr>
              <w:t>Lähdeluettelo</w:t>
            </w:r>
            <w:r w:rsidR="009932F4">
              <w:rPr>
                <w:noProof/>
                <w:webHidden/>
              </w:rPr>
              <w:tab/>
            </w:r>
            <w:r w:rsidR="009932F4">
              <w:rPr>
                <w:noProof/>
                <w:webHidden/>
              </w:rPr>
              <w:fldChar w:fldCharType="begin"/>
            </w:r>
            <w:r w:rsidR="009932F4">
              <w:rPr>
                <w:noProof/>
                <w:webHidden/>
              </w:rPr>
              <w:instrText xml:space="preserve"> PAGEREF _Toc76110807 \h </w:instrText>
            </w:r>
            <w:r w:rsidR="009932F4">
              <w:rPr>
                <w:noProof/>
                <w:webHidden/>
              </w:rPr>
            </w:r>
            <w:r w:rsidR="009932F4">
              <w:rPr>
                <w:noProof/>
                <w:webHidden/>
              </w:rPr>
              <w:fldChar w:fldCharType="separate"/>
            </w:r>
            <w:r w:rsidR="009932F4">
              <w:rPr>
                <w:noProof/>
                <w:webHidden/>
              </w:rPr>
              <w:t>39</w:t>
            </w:r>
            <w:r w:rsidR="009932F4">
              <w:rPr>
                <w:noProof/>
                <w:webHidden/>
              </w:rPr>
              <w:fldChar w:fldCharType="end"/>
            </w:r>
          </w:hyperlink>
        </w:p>
        <w:p w14:paraId="26C6C41B" w14:textId="47B0A9C9" w:rsidR="00D577E9" w:rsidRPr="00A739D9" w:rsidRDefault="00D577E9" w:rsidP="00D577E9">
          <w:r w:rsidRPr="00F369C7">
            <w:rPr>
              <w:rFonts w:eastAsiaTheme="majorEastAsia" w:cstheme="majorHAnsi"/>
              <w:b/>
              <w:szCs w:val="20"/>
            </w:rPr>
            <w:fldChar w:fldCharType="end"/>
          </w:r>
          <w:r w:rsidR="009932F4">
            <w:rPr>
              <w:rFonts w:eastAsiaTheme="majorEastAsia" w:cstheme="majorHAnsi"/>
              <w:b/>
              <w:szCs w:val="20"/>
            </w:rPr>
            <w:t>Liite 1. Tehokkaan tiheyden mallien estimointi</w:t>
          </w:r>
        </w:p>
      </w:sdtContent>
    </w:sdt>
    <w:p w14:paraId="325E075E" w14:textId="31B7487F" w:rsidR="00D577E9" w:rsidRPr="00F369C7" w:rsidRDefault="00A739D9" w:rsidP="00D577E9">
      <w:pPr>
        <w:pStyle w:val="Heading1"/>
        <w:rPr>
          <w:rFonts w:asciiTheme="minorHAnsi" w:hAnsiTheme="minorHAnsi"/>
        </w:rPr>
      </w:pPr>
      <w:bookmarkStart w:id="1" w:name="_Toc76110766"/>
      <w:r>
        <w:rPr>
          <w:rFonts w:asciiTheme="minorHAnsi" w:hAnsiTheme="minorHAnsi"/>
        </w:rPr>
        <w:lastRenderedPageBreak/>
        <w:t>Johdanto</w:t>
      </w:r>
      <w:bookmarkEnd w:id="1"/>
    </w:p>
    <w:p w14:paraId="2E798836" w14:textId="3E7EAEB9" w:rsidR="00C342FF" w:rsidRDefault="00C342FF" w:rsidP="00C342FF">
      <w:pPr>
        <w:pStyle w:val="Heading2"/>
      </w:pPr>
      <w:bookmarkStart w:id="2" w:name="_Toc76110767"/>
      <w:r>
        <w:t>Kasautumisvaikutusten arvioinnin kehittämisen tilanne Suomessa</w:t>
      </w:r>
      <w:bookmarkEnd w:id="2"/>
    </w:p>
    <w:p w14:paraId="3A62658D" w14:textId="77777777" w:rsidR="00C342FF" w:rsidRDefault="00C342FF" w:rsidP="00C342FF">
      <w:pPr>
        <w:pStyle w:val="BodyText"/>
      </w:pPr>
      <w:r>
        <w:t>Liikennejärjestelmän kehittämisen l</w:t>
      </w:r>
      <w:r w:rsidRPr="00C3766A">
        <w:t xml:space="preserve">aajemmat taloudelliset vaikutukset </w:t>
      </w:r>
      <w:r>
        <w:t>tarkoittavat</w:t>
      </w:r>
      <w:r w:rsidRPr="00C3766A">
        <w:t xml:space="preserve"> </w:t>
      </w:r>
      <w:r>
        <w:t xml:space="preserve">toimenpiteiden </w:t>
      </w:r>
      <w:r w:rsidRPr="00C3766A">
        <w:t>suorien vaikutusten synnyttämiä talousjärjestelmän muutoksia, jotka voivat edistää tuottavuutta parantavaa kasautumista, työmarkkinoiden toimintaa</w:t>
      </w:r>
      <w:r>
        <w:t>,</w:t>
      </w:r>
      <w:r w:rsidRPr="00C3766A">
        <w:t xml:space="preserve"> kilpailun tehostumista</w:t>
      </w:r>
      <w:r>
        <w:t xml:space="preserve"> tai kiinteistömarkkinoiden toimintaa</w:t>
      </w:r>
      <w:r w:rsidRPr="00C3766A">
        <w:t>. Nä</w:t>
      </w:r>
      <w:r>
        <w:t xml:space="preserve">iden vaikutuskanavien kautta kehittämistoimet voivat </w:t>
      </w:r>
      <w:r w:rsidRPr="00C3766A">
        <w:t>lisätä</w:t>
      </w:r>
      <w:r>
        <w:t xml:space="preserve"> </w:t>
      </w:r>
      <w:r w:rsidRPr="00C3766A">
        <w:t xml:space="preserve">alueiden </w:t>
      </w:r>
      <w:r>
        <w:t>taloudellista</w:t>
      </w:r>
      <w:r w:rsidRPr="00C3766A">
        <w:t xml:space="preserve"> hyvinvointia enemmän kuin mitä </w:t>
      </w:r>
      <w:r>
        <w:t xml:space="preserve">kannattavuusarvioinnissa </w:t>
      </w:r>
      <w:r w:rsidRPr="00C3766A">
        <w:t>on määritetty suorina liikennemarkkinoilla syntyvinä hyötyinä.</w:t>
      </w:r>
      <w:r>
        <w:t xml:space="preserve"> </w:t>
      </w:r>
    </w:p>
    <w:p w14:paraId="56062FCE" w14:textId="77777777" w:rsidR="00C342FF" w:rsidRDefault="00C342FF" w:rsidP="00C342FF">
      <w:pPr>
        <w:pStyle w:val="BodyText"/>
      </w:pPr>
      <w:r>
        <w:t>Liikennejärjestelmän muutosten l</w:t>
      </w:r>
      <w:r w:rsidRPr="00BE1B0E">
        <w:t>aajempien taloudellisten vaikutusten arviointi</w:t>
      </w:r>
      <w:r>
        <w:t xml:space="preserve">a on viime vuosina tutkittu vaikutusaluekohtaisesti: </w:t>
      </w:r>
    </w:p>
    <w:p w14:paraId="4664DF75" w14:textId="77777777" w:rsidR="00C342FF" w:rsidRDefault="00C342FF" w:rsidP="00654D1E">
      <w:pPr>
        <w:pStyle w:val="BodyText"/>
        <w:numPr>
          <w:ilvl w:val="0"/>
          <w:numId w:val="8"/>
        </w:numPr>
      </w:pPr>
      <w:r w:rsidRPr="00442DFD">
        <w:rPr>
          <w:i/>
          <w:iCs/>
        </w:rPr>
        <w:t>Liikennejärjestelmän työmarkkinavaikutukset ja niiden arviointi</w:t>
      </w:r>
      <w:r>
        <w:t xml:space="preserve"> (Metsäranta ym. 2019)</w:t>
      </w:r>
    </w:p>
    <w:p w14:paraId="26DD5B61" w14:textId="7FD29B43" w:rsidR="00C342FF" w:rsidRDefault="00C342FF" w:rsidP="00654D1E">
      <w:pPr>
        <w:pStyle w:val="BodyText"/>
        <w:numPr>
          <w:ilvl w:val="0"/>
          <w:numId w:val="8"/>
        </w:numPr>
      </w:pPr>
      <w:r w:rsidRPr="00442DFD">
        <w:rPr>
          <w:i/>
          <w:iCs/>
        </w:rPr>
        <w:t xml:space="preserve">Esiselvitys liikennehankkeiden </w:t>
      </w:r>
      <w:r w:rsidR="00F7501D">
        <w:rPr>
          <w:i/>
          <w:iCs/>
        </w:rPr>
        <w:t>kiinteistö</w:t>
      </w:r>
      <w:r w:rsidRPr="00442DFD">
        <w:rPr>
          <w:i/>
          <w:iCs/>
        </w:rPr>
        <w:t>markkinavaikutuksista</w:t>
      </w:r>
      <w:r>
        <w:t xml:space="preserve"> (Haapamäki ym. 20</w:t>
      </w:r>
      <w:r w:rsidR="00F7501D">
        <w:t>20a</w:t>
      </w:r>
      <w:r>
        <w:t>)</w:t>
      </w:r>
    </w:p>
    <w:p w14:paraId="150763D8" w14:textId="77777777" w:rsidR="00C342FF" w:rsidRDefault="00C342FF" w:rsidP="00654D1E">
      <w:pPr>
        <w:pStyle w:val="BodyText"/>
        <w:numPr>
          <w:ilvl w:val="0"/>
          <w:numId w:val="8"/>
        </w:numPr>
      </w:pPr>
      <w:r w:rsidRPr="00442DFD">
        <w:rPr>
          <w:i/>
          <w:iCs/>
        </w:rPr>
        <w:t>Aluetaloustieteen menetelmät liikennejärjestelmän</w:t>
      </w:r>
      <w:r>
        <w:t xml:space="preserve"> vaikutustarkasteluissa (Hokkanen ym. 2020)</w:t>
      </w:r>
    </w:p>
    <w:p w14:paraId="578E1382" w14:textId="4C2AE12F" w:rsidR="00C342FF" w:rsidRDefault="00C342FF" w:rsidP="00654D1E">
      <w:pPr>
        <w:pStyle w:val="BodyText"/>
        <w:numPr>
          <w:ilvl w:val="0"/>
          <w:numId w:val="8"/>
        </w:numPr>
      </w:pPr>
      <w:r w:rsidRPr="00442DFD">
        <w:rPr>
          <w:i/>
          <w:iCs/>
        </w:rPr>
        <w:t>Kasautumisvaikutusten arvioinnin menetelmät liikennejärjestelmän kehittämisen vaikutustarkasteluissa</w:t>
      </w:r>
      <w:r>
        <w:t xml:space="preserve"> (Haapamäki ym. 2020</w:t>
      </w:r>
      <w:r w:rsidR="00F7501D">
        <w:t>b</w:t>
      </w:r>
      <w:r>
        <w:t>).</w:t>
      </w:r>
    </w:p>
    <w:p w14:paraId="144A8F78" w14:textId="25FE72AF" w:rsidR="00C342FF" w:rsidRDefault="00C342FF" w:rsidP="00C342FF">
      <w:pPr>
        <w:pStyle w:val="BodyText"/>
      </w:pPr>
      <w:r>
        <w:t xml:space="preserve">Tutkimusten ja selvitysten perusteella </w:t>
      </w:r>
      <w:r w:rsidRPr="00BE1B0E">
        <w:t xml:space="preserve">liikenne- ja viestintäministeriö </w:t>
      </w:r>
      <w:r>
        <w:t xml:space="preserve">on muodostanut </w:t>
      </w:r>
      <w:r w:rsidRPr="00BE1B0E">
        <w:t xml:space="preserve">tarkastelukehikon </w:t>
      </w:r>
      <w:r>
        <w:t>laajempien taloudellisten vaikutusten arviointiin</w:t>
      </w:r>
      <w:r w:rsidR="00F3024D">
        <w:t xml:space="preserve"> (LVM 2020)</w:t>
      </w:r>
      <w:r>
        <w:t xml:space="preserve">. Kehikon mukaan tietopohja laajempien </w:t>
      </w:r>
      <w:r w:rsidRPr="00A122BD">
        <w:t>taloudellisten</w:t>
      </w:r>
      <w:r>
        <w:t xml:space="preserve"> vaikutusten arviointiin on toistaiseksi riittämätön, joten vaikutuksia arvioidaan vaikutuksia synnyttävien saavutettavuusmuutosten mukaisesti etenemättä euromääräisiin taloudellisiin arvioihin. Arvioinnin tietopohjaa ryhdytään parantamaan. Tämän työn lähtökohtana ovat kasautumisvaikutusten arviointia käsitelleen raportin (Haapamäki ym. 2020) suositukset menetelmän kehittämiseksi Suomessa.</w:t>
      </w:r>
    </w:p>
    <w:p w14:paraId="32765836" w14:textId="27907C1D" w:rsidR="00C342FF" w:rsidRDefault="00C342FF" w:rsidP="00C342FF">
      <w:pPr>
        <w:pStyle w:val="BodyText"/>
      </w:pPr>
      <w:r>
        <w:t xml:space="preserve">Nykyisenkaltainen ymmärrys kasautumisvaikutuksista osana liikennejärjestelmän kehittämisen laajempia taloudellisia vaikutuksia on tunnistettu Liikenneviraston esiselvityksessä vuonna 2016 </w:t>
      </w:r>
      <w:r w:rsidRPr="00442DFD">
        <w:rPr>
          <w:i/>
          <w:iCs/>
        </w:rPr>
        <w:t>Liikennehankkeiden laajemmat taloudelliset vaikutukset. Esiselvitys.</w:t>
      </w:r>
      <w:r w:rsidRPr="00924503">
        <w:t xml:space="preserve"> </w:t>
      </w:r>
      <w:r>
        <w:t xml:space="preserve">(Laakso ym. 2016). Jatkohankkeessa </w:t>
      </w:r>
      <w:r w:rsidRPr="00442DFD">
        <w:rPr>
          <w:i/>
          <w:iCs/>
        </w:rPr>
        <w:t>Liikennehankkeiden laajemmat taloudelliset vaikutukset: Arviointimenetelmien kehittäminen ja soveltaminen Suomen oloihin</w:t>
      </w:r>
      <w:r w:rsidRPr="00442DFD">
        <w:t xml:space="preserve"> (Laakso ja Metsäranta 2017)</w:t>
      </w:r>
      <w:r>
        <w:t xml:space="preserve"> estimoitiin tehokkaan tiheyden ja eri toimialojen tuottavuuksien välisiä joustoja ja tehtiin esimerkkilaskelmia Iso-Britannia arviointiohjeita soveltaen. Kasautumisen tuottavuushyötyjä on arvioitu myös yksittäisistä hankkeista</w:t>
      </w:r>
      <w:r w:rsidR="00BD1BA7">
        <w:t xml:space="preserve"> käyttäen ilman tutkimustietoa valittuja laskentaparametreja</w:t>
      </w:r>
      <w:r>
        <w:t xml:space="preserve">: </w:t>
      </w:r>
      <w:r w:rsidRPr="001C219D">
        <w:rPr>
          <w:i/>
          <w:iCs/>
        </w:rPr>
        <w:t>Tampere–Helsinki-ratakäytävän kehittämisen laajemmat taloudelliset vaikutukset</w:t>
      </w:r>
      <w:r>
        <w:t xml:space="preserve"> (Metsäranta ym. 2018) sekä </w:t>
      </w:r>
      <w:r w:rsidRPr="001C219D">
        <w:rPr>
          <w:i/>
          <w:iCs/>
        </w:rPr>
        <w:t>Länsi-Helsingin raitioteiden kaupunkitaloudellinen arviointi</w:t>
      </w:r>
      <w:r>
        <w:t xml:space="preserve"> (Metsäranta ym. 2020).</w:t>
      </w:r>
    </w:p>
    <w:p w14:paraId="327749C8" w14:textId="77777777" w:rsidR="00C342FF" w:rsidRDefault="00C342FF" w:rsidP="00C342FF">
      <w:pPr>
        <w:pStyle w:val="BodyText"/>
      </w:pPr>
      <w:r>
        <w:t>Viimeisin aiheesta tehty työ</w:t>
      </w:r>
      <w:r w:rsidRPr="001C219D">
        <w:t xml:space="preserve"> </w:t>
      </w:r>
      <w:r w:rsidRPr="001C219D">
        <w:rPr>
          <w:i/>
          <w:iCs/>
        </w:rPr>
        <w:t>Kasautumisvaikutusten arvioinnin menetelmät liikennejärjestelmän kehittämisen vaikutustarkasteluissa</w:t>
      </w:r>
      <w:r>
        <w:t xml:space="preserve"> (Haapamäki ym. 2020) määritteli ajanmukaisen teoreettisen viitekehyksen liikennejärjestelmän kehittämisen kasautumisvaikutusten arviointiin. Työssä käytiin läpi uusinta empiiristä ja arviointitutkimusta liikennejärjestelmää muuttavien toimenpiteiden kasautumisvaikutuksista ja esitettiin ilmiön tutkimisen haasteet ja riskit tulosten vääristymisestä. Työn suosituksissa todetaan, että kasautumisen arviointimenetelmien kehittämiseksi on tutkittava kasautumisen ja tuottavuuden välistä yhteyttä Suomessa. Mallien siirto muista maista ei toimi, koska vaikutukset riippuvat suuresti paikallisista olosuhteista. Erityisiä tutkimuskysymyksiä edellisen työn mukaan ovat 1) </w:t>
      </w:r>
      <w:r>
        <w:lastRenderedPageBreak/>
        <w:t xml:space="preserve">Kasautumismittarin valinta ja tarkempi määrittely, 2) Kasautumismittarin ja tuottavuuden välisen jouston estimointi sekä 3) Kohtaantovaikutusten erotteleminen oppimis- ja jakamisvaikutuksista. </w:t>
      </w:r>
    </w:p>
    <w:p w14:paraId="28B1BCF5" w14:textId="20A579BE" w:rsidR="00C342FF" w:rsidRDefault="00C342FF" w:rsidP="00C342FF">
      <w:pPr>
        <w:pStyle w:val="Heading2"/>
      </w:pPr>
      <w:bookmarkStart w:id="3" w:name="_Toc76110768"/>
      <w:r>
        <w:t>Tämän työn tavoite</w:t>
      </w:r>
      <w:bookmarkEnd w:id="3"/>
    </w:p>
    <w:p w14:paraId="39920884" w14:textId="0B9F1FA1" w:rsidR="00C342FF" w:rsidRDefault="00C342FF" w:rsidP="0007786C">
      <w:pPr>
        <w:pStyle w:val="BodyText"/>
      </w:pPr>
      <w:r>
        <w:t>Tämä</w:t>
      </w:r>
      <w:r w:rsidR="00EA62FB">
        <w:t>n</w:t>
      </w:r>
      <w:r w:rsidR="00BD1BA7">
        <w:t xml:space="preserve"> työ</w:t>
      </w:r>
      <w:r>
        <w:t xml:space="preserve">n tavoitteena on </w:t>
      </w:r>
      <w:r w:rsidR="00EA62FB">
        <w:t xml:space="preserve">ollut </w:t>
      </w:r>
      <w:r w:rsidR="00BD1BA7">
        <w:t xml:space="preserve">vastata ensimmäiseen edellä listatuista </w:t>
      </w:r>
      <w:r w:rsidR="00BD1BA7" w:rsidRPr="0007786C">
        <w:t>tutkimuskysymyksistä</w:t>
      </w:r>
      <w:r w:rsidR="00BD1BA7">
        <w:t xml:space="preserve"> määrittä</w:t>
      </w:r>
      <w:r w:rsidR="00EA62FB">
        <w:t>mällä</w:t>
      </w:r>
      <w:r w:rsidR="00BD1BA7">
        <w:t xml:space="preserve"> </w:t>
      </w:r>
      <w:r>
        <w:t>Suome</w:t>
      </w:r>
      <w:r w:rsidR="00EA62FB">
        <w:t>e</w:t>
      </w:r>
      <w:r>
        <w:t>n</w:t>
      </w:r>
      <w:r w:rsidR="00EA62FB">
        <w:t xml:space="preserve"> </w:t>
      </w:r>
      <w:r>
        <w:t>tehokkaan tiheyden mittari</w:t>
      </w:r>
      <w:r w:rsidR="00EA62FB">
        <w:t xml:space="preserve">. Tämän työn tuloksia käytetään seuraavassa vaiheessa </w:t>
      </w:r>
      <w:r>
        <w:t xml:space="preserve">kasautumisen ja tuottavuuden välisen jouston määrittämiseen ja </w:t>
      </w:r>
      <w:r w:rsidR="00EA62FB">
        <w:t xml:space="preserve">myöhemmin </w:t>
      </w:r>
      <w:r>
        <w:t xml:space="preserve">liikennejärjestelmän kehittämistoimien </w:t>
      </w:r>
      <w:r w:rsidR="00EA62FB">
        <w:t xml:space="preserve">kasautumisvaikutusten arvioinnissa. </w:t>
      </w:r>
    </w:p>
    <w:p w14:paraId="12723227" w14:textId="50264707" w:rsidR="00527F25" w:rsidRDefault="00527F25" w:rsidP="00527F25">
      <w:pPr>
        <w:pStyle w:val="BodyText"/>
      </w:pPr>
      <w:r>
        <w:t>Työ jakautuu seuraaviin työvaiheisiin:</w:t>
      </w:r>
    </w:p>
    <w:p w14:paraId="41FAAD8D" w14:textId="449B0FCC" w:rsidR="00527F25" w:rsidRPr="00527F25" w:rsidRDefault="00527F25" w:rsidP="00527F25">
      <w:pPr>
        <w:pStyle w:val="BodyText"/>
        <w:numPr>
          <w:ilvl w:val="0"/>
          <w:numId w:val="15"/>
        </w:numPr>
      </w:pPr>
      <w:r w:rsidRPr="00527F25">
        <w:t>Kirjallisuustutkimus. Tarkennetaan aiemmin tehtyä kirjallisuustutkimusta tiheyden mittareiden yksityiskohtiin. Pääteemoina ovat mittarin kytkentä kasautumisen ilmiöön, aineistojen asettamat rajoitukset sekä määriteltävän mittarin käyttötilanteet.</w:t>
      </w:r>
    </w:p>
    <w:p w14:paraId="48E0DA95" w14:textId="21EC5EDF" w:rsidR="00527F25" w:rsidRPr="00527F25" w:rsidRDefault="00527F25" w:rsidP="00527F25">
      <w:pPr>
        <w:pStyle w:val="BodyText"/>
        <w:numPr>
          <w:ilvl w:val="0"/>
          <w:numId w:val="15"/>
        </w:numPr>
      </w:pPr>
      <w:r w:rsidRPr="00527F25">
        <w:t xml:space="preserve">Tehokkaan tiheyden mittarin määrittäminen. Määritellään kirjallisuustutkimuksen tulosten pohjalta ottaen huomioon Suomessa käytettävät aineistot ja menetelmien mahdollisuudet. </w:t>
      </w:r>
    </w:p>
    <w:p w14:paraId="752E503B" w14:textId="0FFC22A7" w:rsidR="00527F25" w:rsidRPr="00527F25" w:rsidRDefault="00527F25" w:rsidP="00527F25">
      <w:pPr>
        <w:pStyle w:val="BodyText"/>
        <w:numPr>
          <w:ilvl w:val="0"/>
          <w:numId w:val="15"/>
        </w:numPr>
      </w:pPr>
      <w:r w:rsidRPr="00527F25">
        <w:t>Mittarin testaus ja esimerkkiarvojen tuottaminen. Esimerkkilaskelmat tehdään sen varmistamiseksi, että määritelty mittarin arvot ovat tuotettavissa luotettavasti tarvittaviin arviointitilanteisiin ja tutkimusasetelmiin.</w:t>
      </w:r>
    </w:p>
    <w:p w14:paraId="11DC610E" w14:textId="62C97690" w:rsidR="00527F25" w:rsidRPr="00527F25" w:rsidRDefault="00527F25" w:rsidP="00527F25">
      <w:pPr>
        <w:pStyle w:val="BodyText"/>
        <w:numPr>
          <w:ilvl w:val="0"/>
          <w:numId w:val="15"/>
        </w:numPr>
      </w:pPr>
      <w:r w:rsidRPr="00527F25">
        <w:t xml:space="preserve">Päätelmät ja suositukset. Esitetään tehokkaan tiheyden mittari ja suositukset sen käytöstä muun muassa joustojen estimoinnissa ja eri arviointitilanteissa. Esille tulleet kehittämistarpeet menetelmästä ja tarvittavista aineistoista tuodaan esille. </w:t>
      </w:r>
    </w:p>
    <w:p w14:paraId="575143C5" w14:textId="2073FC76" w:rsidR="00D577E9" w:rsidRPr="00F369C7" w:rsidRDefault="00925F8F" w:rsidP="00A739D9">
      <w:pPr>
        <w:pStyle w:val="Heading2"/>
      </w:pPr>
      <w:bookmarkStart w:id="4" w:name="_Toc76110769"/>
      <w:r>
        <w:t>Työn</w:t>
      </w:r>
      <w:r w:rsidR="00D577E9" w:rsidRPr="00F369C7">
        <w:t xml:space="preserve"> rajaus ja menetelmät</w:t>
      </w:r>
      <w:bookmarkEnd w:id="4"/>
    </w:p>
    <w:p w14:paraId="59A418E5" w14:textId="77777777" w:rsidR="00F301F3" w:rsidRDefault="00F301F3" w:rsidP="00F301F3">
      <w:pPr>
        <w:pStyle w:val="BodyText"/>
      </w:pPr>
      <w:r>
        <w:t>Tässä työssä rajaudutaan selvittämään ja määrittelemään tehokkaan tiheyden mittaria kuvaamaan taloudellista kasautumista. Tehokkaan tiheyden määrittämiseen kuuluvat seuraavat määrittelyt:</w:t>
      </w:r>
    </w:p>
    <w:p w14:paraId="075BEEF3" w14:textId="77777777" w:rsidR="00F301F3" w:rsidRDefault="00F301F3" w:rsidP="00F301F3">
      <w:pPr>
        <w:pStyle w:val="BodyText"/>
        <w:numPr>
          <w:ilvl w:val="0"/>
          <w:numId w:val="12"/>
        </w:numPr>
      </w:pPr>
      <w:r>
        <w:t>Alue, jolle tehokas tiheys lasketaan (esim. ruutu, mallialue, postinumeroalue, kunta)</w:t>
      </w:r>
    </w:p>
    <w:p w14:paraId="6CEA8703" w14:textId="77777777" w:rsidR="00F301F3" w:rsidRPr="00527F25" w:rsidRDefault="00F301F3" w:rsidP="00F301F3">
      <w:pPr>
        <w:pStyle w:val="BodyText"/>
        <w:numPr>
          <w:ilvl w:val="0"/>
          <w:numId w:val="12"/>
        </w:numPr>
      </w:pPr>
      <w:r>
        <w:t xml:space="preserve">Alueen taloudellista merkitystä kuvaava suure, jonka tiheyttä lasketaan </w:t>
      </w:r>
      <w:r w:rsidRPr="00527F25">
        <w:t>(esim. työpaikat, palkkasumma, työtunnit, asukkaat)</w:t>
      </w:r>
    </w:p>
    <w:p w14:paraId="7E375158" w14:textId="77777777" w:rsidR="00F301F3" w:rsidRPr="00527F25" w:rsidRDefault="00F301F3" w:rsidP="00527F25">
      <w:pPr>
        <w:pStyle w:val="BodyText"/>
        <w:numPr>
          <w:ilvl w:val="0"/>
          <w:numId w:val="12"/>
        </w:numPr>
      </w:pPr>
      <w:r w:rsidRPr="00527F25">
        <w:t>Etäisyysmitta, joka kuvaa alueiden välistä matkavastusta (yhteyksien mahdollistama matka-aika ja -kustannus, toteutuvien matkojen kuluttajanylijäämä)</w:t>
      </w:r>
    </w:p>
    <w:p w14:paraId="59B97B3E" w14:textId="3354B0F1" w:rsidR="00F301F3" w:rsidRPr="00527F25" w:rsidRDefault="00F301F3" w:rsidP="00527F25">
      <w:pPr>
        <w:pStyle w:val="BodyText"/>
        <w:numPr>
          <w:ilvl w:val="0"/>
          <w:numId w:val="12"/>
        </w:numPr>
      </w:pPr>
      <w:r w:rsidRPr="00527F25">
        <w:t>Funktio, joka kuvaa alueiden välisen etäisyyden merkitystä tehokkaaseen tiheyteen (esimerkiksi etäisyyden käänteisluku tiettyyn potenssiin, eksponentiaalinen, logistinen).</w:t>
      </w:r>
    </w:p>
    <w:p w14:paraId="5314CFA3" w14:textId="6F450D75" w:rsidR="00F301F3" w:rsidRDefault="00F301F3" w:rsidP="00527F25">
      <w:pPr>
        <w:pStyle w:val="BodyText"/>
      </w:pPr>
      <w:r w:rsidRPr="00527F25">
        <w:t xml:space="preserve">Tässä työssä ei tutkita tehokkaan tiheyden ja talouden tuottavuuden välistä yhteyttä, vaan joustotutkimus on myöhemmin toteutettava erillinen tutkimus. Joustotutkimus </w:t>
      </w:r>
      <w:r w:rsidR="00527F25" w:rsidRPr="00527F25">
        <w:t>tunnistetaan tässä työssä tulevaksi tehokkaan tiheyden mittarin käyttökohteeksi, ja joustotutkimuksesta esitetään alustava suunnitelma.</w:t>
      </w:r>
    </w:p>
    <w:p w14:paraId="40356CFB" w14:textId="77777777" w:rsidR="00C342FF" w:rsidRPr="00F369C7" w:rsidRDefault="00C342FF" w:rsidP="00D577E9">
      <w:pPr>
        <w:pStyle w:val="BodyText"/>
      </w:pPr>
    </w:p>
    <w:p w14:paraId="4D07EF27" w14:textId="12D065A5" w:rsidR="00D577E9" w:rsidRPr="00F369C7" w:rsidRDefault="00C342FF" w:rsidP="00D577E9">
      <w:pPr>
        <w:pStyle w:val="Heading1"/>
        <w:rPr>
          <w:rFonts w:asciiTheme="minorHAnsi" w:hAnsiTheme="minorHAnsi"/>
        </w:rPr>
      </w:pPr>
      <w:bookmarkStart w:id="5" w:name="_Toc76110770"/>
      <w:r>
        <w:rPr>
          <w:rFonts w:asciiTheme="minorHAnsi" w:hAnsiTheme="minorHAnsi"/>
        </w:rPr>
        <w:lastRenderedPageBreak/>
        <w:t>Kirjallisuustutkimus</w:t>
      </w:r>
      <w:bookmarkEnd w:id="5"/>
    </w:p>
    <w:p w14:paraId="0883FC7F" w14:textId="7333EED4" w:rsidR="00C342FF" w:rsidRPr="00630CCA" w:rsidRDefault="00C342FF" w:rsidP="00463345">
      <w:pPr>
        <w:pStyle w:val="Heading2"/>
      </w:pPr>
      <w:bookmarkStart w:id="6" w:name="_Toc76110771"/>
      <w:r w:rsidRPr="00630CCA">
        <w:t>Kasautumi</w:t>
      </w:r>
      <w:r w:rsidR="00E96C8E">
        <w:t>sen mittaaminen</w:t>
      </w:r>
      <w:bookmarkEnd w:id="6"/>
    </w:p>
    <w:p w14:paraId="4A7A4D4F" w14:textId="77777777" w:rsidR="00C342FF" w:rsidRPr="00630CCA" w:rsidRDefault="00C342FF" w:rsidP="00463345">
      <w:pPr>
        <w:pStyle w:val="Heading3"/>
      </w:pPr>
      <w:bookmarkStart w:id="7" w:name="_Toc76110772"/>
      <w:r w:rsidRPr="00630CCA">
        <w:t>Tehokkaan tiheyden mittari</w:t>
      </w:r>
      <w:bookmarkEnd w:id="7"/>
      <w:r w:rsidRPr="00630CCA">
        <w:t xml:space="preserve"> </w:t>
      </w:r>
    </w:p>
    <w:p w14:paraId="52C01FD5" w14:textId="56DEBA51" w:rsidR="00C342FF" w:rsidRPr="00630CCA" w:rsidRDefault="00C342FF" w:rsidP="0007786C">
      <w:pPr>
        <w:pStyle w:val="BodyText"/>
      </w:pPr>
      <w:r w:rsidRPr="00630CCA">
        <w:t>Tehokasta tiheyttä käytetään kuvaamaan taloudellista saavutettavuutta eli kasautumista. Kasautumisen tutkimiseen ja kuvaamiseen on käytetty useita eri suureita. Aikaisempi kirjallisuus keskittyi pääosin kasautumisvaikutuksen tarkasteluun tuotantoteollisuudessa ja käytti mittana kaupunki- tai toimialakokoa kuvaamaan kasautumisvaikutusta vastaavasti kaupungeissa ja eri toimialoilla (Graham ja Dender, 2011). Myöhempi kirjallisuus siirtyi kuvaamaan kasautumista joko kokonaisasukasluvulla tai -työllisyydellä tai niiden tiheyksillä (Graham ja Melo, 2009). Näiden kahden mitan ongelmana on kuitenkin se, että ne eivät pysty kertomaan kasautumisvaikutuksen alueellisesta levittäytymisestä tai ottamaan sitä ylipäätään huomioon. Tuorein kasautumistutkimus mieltääkin paremmaksi tavaksi kuvata kasautumista tehokkaalla tiheydellä (</w:t>
      </w:r>
      <w:r w:rsidRPr="00C40986">
        <w:rPr>
          <w:i/>
          <w:iCs/>
        </w:rPr>
        <w:t>effective density</w:t>
      </w:r>
      <w:r w:rsidRPr="00630CCA">
        <w:t>) tai markkinapotentiaalilla (</w:t>
      </w:r>
      <w:r w:rsidRPr="00C40986">
        <w:rPr>
          <w:i/>
          <w:iCs/>
        </w:rPr>
        <w:t>market potential</w:t>
      </w:r>
      <w:r w:rsidRPr="00630CCA">
        <w:t xml:space="preserve">), jotka </w:t>
      </w:r>
      <w:r>
        <w:t>lasketaan erikseen</w:t>
      </w:r>
      <w:r w:rsidRPr="00630CCA">
        <w:t xml:space="preserve"> pienille alueille. Markkinapotentiaali ja tehokas tiheys tarkoittavat käytännössä samaa asiaa ja mittaa on kutsuttu myös (työn) saavutettavuudeksi </w:t>
      </w:r>
      <w:r w:rsidRPr="00C40986">
        <w:rPr>
          <w:i/>
          <w:iCs/>
        </w:rPr>
        <w:t>((job) accessibility</w:t>
      </w:r>
      <w:r w:rsidRPr="00630CCA">
        <w:t>) (ks. esim. Börjesson ym., 2019). Tässä raportissa viita</w:t>
      </w:r>
      <w:r w:rsidR="00502341">
        <w:t>taan</w:t>
      </w:r>
      <w:r w:rsidRPr="00630CCA">
        <w:t xml:space="preserve"> mittariin termillä ”tehokas tiheys”. Tämä mitta ottaa huomioon sekä taloudellisen toiminnan koon että sen etäisyyden</w:t>
      </w:r>
      <w:r>
        <w:t>,</w:t>
      </w:r>
      <w:r w:rsidRPr="00630CCA">
        <w:t xml:space="preserve"> ja sallii kasautumisvaikutusten alueellisen levittäytymisen etäisyydessä laskevalla voimalla (Graham ja Melo, 2009). Mion ja Naticchioni (2005) olivat Graham ja Melo (2009) mukaan ellei ensimmäisiä niin ensimmäisten joukossa, jotka käyttivät tehokasta tiheyttä kuvaamaan kasautumista.</w:t>
      </w:r>
      <w:r w:rsidRPr="00630CCA">
        <w:rPr>
          <w:rStyle w:val="FootnoteReference"/>
          <w:rFonts w:ascii="Times New Roman" w:hAnsi="Times New Roman" w:cs="Times New Roman"/>
          <w:sz w:val="24"/>
          <w:szCs w:val="24"/>
        </w:rPr>
        <w:footnoteReference w:id="1"/>
      </w:r>
      <w:r w:rsidRPr="00630CCA">
        <w:t xml:space="preserve"> </w:t>
      </w:r>
    </w:p>
    <w:p w14:paraId="2F921914" w14:textId="5AD2024E" w:rsidR="00C342FF" w:rsidRPr="00630CCA" w:rsidRDefault="00C342FF" w:rsidP="00C342FF">
      <w:pPr>
        <w:pStyle w:val="BodyText"/>
      </w:pPr>
      <w:r w:rsidRPr="00630CCA">
        <w:t>Lyhyesti kuvattuna tehokas tiheys mittaa alueen saavutettavuutta oman ja muiden alueiden taloudellisen toiminnan massan sekä alueiden välisten etäisyyksien avulla (Graham 2007 ja Venables 2017). Tietyn sijainnin kannalta kunkin keskittymän vaikutus ko. sijainnin tehokkaaseen tiheyteen on sitä voimakkaampi, 1) mitä lähempänä keskittymä on ja 2) mitä suurempi keskittymä on. Tehokasta tiheyttä on ohjeistettu käytettäväksi kasautumisvaikutusten arviointiin muun muassa Ison-Britannian liikennehankkeiden laajempien vaikutusten arviointiohjeissa (</w:t>
      </w:r>
      <w:r w:rsidR="00463345">
        <w:t>kts. tarkemmin luku 3.3</w:t>
      </w:r>
      <w:r w:rsidRPr="00630CCA">
        <w:t>). Yleismuotona tehokkaasta tiheydestä alueella (</w:t>
      </w:r>
      <w:r w:rsidRPr="00C40986">
        <w:rPr>
          <w:i/>
          <w:iCs/>
        </w:rPr>
        <w:t>zone</w:t>
      </w:r>
      <w:r w:rsidRPr="00630CCA">
        <w:t xml:space="preserve">) </w:t>
      </w:r>
      <w:r w:rsidRPr="00630CCA">
        <w:rPr>
          <w:i/>
          <w:iCs/>
        </w:rPr>
        <w:t>i</w:t>
      </w:r>
      <w:r w:rsidRPr="00630CCA">
        <w:t xml:space="preserve"> kun alueita on yhteensä </w:t>
      </w:r>
      <w:r w:rsidRPr="00630CCA">
        <w:rPr>
          <w:i/>
          <w:iCs/>
        </w:rPr>
        <w:t>n</w:t>
      </w:r>
      <w:r w:rsidRPr="00630CCA">
        <w:t xml:space="preserve"> kappaletta, voidaan esittää seuraavalla tavalla (mukaillen Graham ja Gibbons 2019): </w:t>
      </w:r>
    </w:p>
    <w:p w14:paraId="12D8E0EC" w14:textId="77777777" w:rsidR="00C342FF" w:rsidRPr="00630CCA" w:rsidRDefault="0040610B" w:rsidP="00C342FF">
      <w:pPr>
        <w:pStyle w:val="BodyText"/>
        <w:rPr>
          <w:rFonts w:eastAsiaTheme="minorEastAsia"/>
        </w:rPr>
      </w:pPr>
      <m:oMathPara>
        <m:oMath>
          <m:sSub>
            <m:sSubPr>
              <m:ctrlPr>
                <w:rPr>
                  <w:rFonts w:ascii="Cambria Math" w:hAnsi="Cambria Math"/>
                  <w:i/>
                </w:rPr>
              </m:ctrlPr>
            </m:sSubPr>
            <m:e>
              <m:r>
                <w:rPr>
                  <w:rFonts w:ascii="Cambria Math" w:hAnsi="Cambria Math"/>
                </w:rPr>
                <m:t>TT</m:t>
              </m:r>
            </m:e>
            <m:sub>
              <m:r>
                <w:rPr>
                  <w:rFonts w:ascii="Cambria Math" w:hAnsi="Cambria Math"/>
                </w:rPr>
                <m:t>i</m:t>
              </m:r>
            </m:sub>
          </m:sSub>
          <m:r>
            <w:rPr>
              <w:rFonts w:ascii="Cambria Math" w:hAnsi="Cambria Math"/>
            </w:rPr>
            <m:t>=</m:t>
          </m:r>
          <m:nary>
            <m:naryPr>
              <m:chr m:val="∑"/>
              <m:limLoc m:val="undOvr"/>
              <m:ctrlPr>
                <w:rPr>
                  <w:rFonts w:ascii="Cambria Math" w:hAnsi="Cambria Math"/>
                  <w:i/>
                </w:rPr>
              </m:ctrlPr>
            </m:naryPr>
            <m:sub>
              <m:r>
                <w:rPr>
                  <w:rFonts w:ascii="Cambria Math" w:hAnsi="Cambria Math"/>
                </w:rPr>
                <m:t>j=1</m:t>
              </m:r>
            </m:sub>
            <m:sup>
              <m:r>
                <w:rPr>
                  <w:rFonts w:ascii="Cambria Math" w:hAnsi="Cambria Math"/>
                </w:rPr>
                <m:t>n</m:t>
              </m:r>
            </m:sup>
            <m:e>
              <m:sSub>
                <m:sSubPr>
                  <m:ctrlPr>
                    <w:rPr>
                      <w:rFonts w:ascii="Cambria Math" w:hAnsi="Cambria Math"/>
                      <w:i/>
                    </w:rPr>
                  </m:ctrlPr>
                </m:sSubPr>
                <m:e>
                  <m:r>
                    <w:rPr>
                      <w:rFonts w:ascii="Cambria Math" w:hAnsi="Cambria Math"/>
                    </w:rPr>
                    <m:t>m</m:t>
                  </m:r>
                </m:e>
                <m:sub>
                  <m:r>
                    <w:rPr>
                      <w:rFonts w:ascii="Cambria Math" w:hAnsi="Cambria Math"/>
                    </w:rPr>
                    <m:t>j</m:t>
                  </m:r>
                </m:sub>
              </m:sSub>
              <m:r>
                <w:rPr>
                  <w:rFonts w:ascii="Cambria Math" w:hAnsi="Cambria Math"/>
                </w:rPr>
                <m:t>f(</m:t>
              </m:r>
              <m:sSub>
                <m:sSubPr>
                  <m:ctrlPr>
                    <w:rPr>
                      <w:rFonts w:ascii="Cambria Math" w:hAnsi="Cambria Math"/>
                      <w:i/>
                    </w:rPr>
                  </m:ctrlPr>
                </m:sSubPr>
                <m:e>
                  <m:r>
                    <w:rPr>
                      <w:rFonts w:ascii="Cambria Math" w:hAnsi="Cambria Math"/>
                    </w:rPr>
                    <m:t>d</m:t>
                  </m:r>
                </m:e>
                <m:sub>
                  <m:r>
                    <w:rPr>
                      <w:rFonts w:ascii="Cambria Math" w:hAnsi="Cambria Math"/>
                    </w:rPr>
                    <m:t>ij</m:t>
                  </m:r>
                </m:sub>
              </m:sSub>
              <m:r>
                <w:rPr>
                  <w:rFonts w:ascii="Cambria Math" w:hAnsi="Cambria Math"/>
                </w:rPr>
                <m:t>)</m:t>
              </m:r>
            </m:e>
          </m:nary>
        </m:oMath>
      </m:oMathPara>
    </w:p>
    <w:p w14:paraId="25396A3E" w14:textId="77777777" w:rsidR="00C342FF" w:rsidRPr="00630CCA" w:rsidRDefault="00C342FF" w:rsidP="00C342FF">
      <w:pPr>
        <w:pStyle w:val="BodyText"/>
        <w:rPr>
          <w:rFonts w:eastAsiaTheme="minorEastAsia"/>
        </w:rPr>
      </w:pPr>
      <w:r w:rsidRPr="00630CCA">
        <w:t xml:space="preserve">jossa </w:t>
      </w:r>
      <m:oMath>
        <m:sSub>
          <m:sSubPr>
            <m:ctrlPr>
              <w:rPr>
                <w:rFonts w:ascii="Cambria Math" w:hAnsi="Cambria Math"/>
                <w:i/>
              </w:rPr>
            </m:ctrlPr>
          </m:sSubPr>
          <m:e>
            <m:r>
              <w:rPr>
                <w:rFonts w:ascii="Cambria Math" w:hAnsi="Cambria Math"/>
              </w:rPr>
              <m:t>m</m:t>
            </m:r>
          </m:e>
          <m:sub>
            <m:r>
              <w:rPr>
                <w:rFonts w:ascii="Cambria Math" w:hAnsi="Cambria Math"/>
              </w:rPr>
              <m:t>j</m:t>
            </m:r>
          </m:sub>
        </m:sSub>
      </m:oMath>
      <w:r w:rsidRPr="00630CCA">
        <w:rPr>
          <w:rFonts w:eastAsiaTheme="minorEastAsia"/>
        </w:rPr>
        <w:t xml:space="preserve"> kuvaa taloudellista massaa alueella </w:t>
      </w:r>
      <w:r w:rsidRPr="00223032">
        <w:rPr>
          <w:rFonts w:eastAsiaTheme="minorEastAsia"/>
          <w:i/>
          <w:iCs/>
        </w:rPr>
        <w:t>j</w:t>
      </w:r>
      <w:r w:rsidRPr="00630CCA">
        <w:rPr>
          <w:rFonts w:eastAsiaTheme="minorEastAsia"/>
        </w:rPr>
        <w:t xml:space="preserve"> ja </w:t>
      </w:r>
      <m:oMath>
        <m:r>
          <w:rPr>
            <w:rFonts w:ascii="Cambria Math" w:hAnsi="Cambria Math"/>
          </w:rPr>
          <m:t>f(∙)</m:t>
        </m:r>
      </m:oMath>
      <w:r w:rsidRPr="00630CCA">
        <w:rPr>
          <w:rFonts w:eastAsiaTheme="minorEastAsia"/>
        </w:rPr>
        <w:t xml:space="preserve">, johon viitataan kirjallisuudessa tyypillisesti vapaasti suomennettuna nimellä </w:t>
      </w:r>
      <w:r w:rsidRPr="00463345">
        <w:rPr>
          <w:rFonts w:eastAsiaTheme="minorEastAsia"/>
        </w:rPr>
        <w:t>matkavastusfunktio (</w:t>
      </w:r>
      <w:r w:rsidRPr="00C40986">
        <w:rPr>
          <w:rFonts w:eastAsiaTheme="minorEastAsia"/>
          <w:i/>
          <w:iCs/>
        </w:rPr>
        <w:t>impedance function</w:t>
      </w:r>
      <w:r w:rsidRPr="00463345">
        <w:rPr>
          <w:rFonts w:eastAsiaTheme="minorEastAsia"/>
        </w:rPr>
        <w:t>), on matkakustannuksen suhteen laskeva funktio</w:t>
      </w:r>
      <w:r w:rsidRPr="00630CCA">
        <w:rPr>
          <w:rFonts w:eastAsiaTheme="minorEastAsia"/>
        </w:rPr>
        <w:t xml:space="preserve"> alkuperästä </w:t>
      </w:r>
      <w:r w:rsidRPr="00223032">
        <w:rPr>
          <w:rFonts w:eastAsiaTheme="minorEastAsia"/>
          <w:i/>
          <w:iCs/>
        </w:rPr>
        <w:t>i</w:t>
      </w:r>
      <w:r w:rsidRPr="00630CCA">
        <w:rPr>
          <w:rFonts w:eastAsiaTheme="minorEastAsia"/>
        </w:rPr>
        <w:t xml:space="preserve"> määränpäähän </w:t>
      </w:r>
      <w:r w:rsidRPr="00223032">
        <w:rPr>
          <w:rFonts w:eastAsiaTheme="minorEastAsia"/>
          <w:i/>
          <w:iCs/>
        </w:rPr>
        <w:t>j</w:t>
      </w:r>
      <w:r w:rsidRPr="00630CCA">
        <w:rPr>
          <w:rFonts w:eastAsiaTheme="minorEastAsia"/>
        </w:rPr>
        <w:t xml:space="preserve">. </w:t>
      </w:r>
    </w:p>
    <w:p w14:paraId="70BA59CD" w14:textId="77777777" w:rsidR="00E96C8E" w:rsidRDefault="00C342FF" w:rsidP="00463345">
      <w:pPr>
        <w:pStyle w:val="BodyText"/>
        <w:rPr>
          <w:rFonts w:eastAsiaTheme="minorEastAsia"/>
        </w:rPr>
      </w:pPr>
      <w:r w:rsidRPr="00630CCA">
        <w:rPr>
          <w:rFonts w:eastAsiaTheme="minorEastAsia"/>
        </w:rPr>
        <w:t xml:space="preserve">Graham ja Gibbons (2019) mukaan tehokkaan tiheyden mittarilla on kolme päätavoitetta: </w:t>
      </w:r>
    </w:p>
    <w:p w14:paraId="31D3C46D" w14:textId="04E7134E" w:rsidR="00E96C8E" w:rsidRDefault="00C342FF" w:rsidP="00E96C8E">
      <w:pPr>
        <w:pStyle w:val="BodyText"/>
        <w:numPr>
          <w:ilvl w:val="0"/>
          <w:numId w:val="18"/>
        </w:numPr>
      </w:pPr>
      <w:r w:rsidRPr="00630CCA">
        <w:t xml:space="preserve">ottaa huomioon sekä koon </w:t>
      </w:r>
      <w:r>
        <w:t>että</w:t>
      </w:r>
      <w:r w:rsidRPr="00630CCA">
        <w:t xml:space="preserve"> läheisyyden vaikutus</w:t>
      </w:r>
    </w:p>
    <w:p w14:paraId="5E6B57CF" w14:textId="77BDCB0C" w:rsidR="00E96C8E" w:rsidRDefault="00C342FF" w:rsidP="00E96C8E">
      <w:pPr>
        <w:pStyle w:val="BodyText"/>
        <w:numPr>
          <w:ilvl w:val="0"/>
          <w:numId w:val="18"/>
        </w:numPr>
      </w:pPr>
      <w:r w:rsidRPr="00630CCA">
        <w:t xml:space="preserve">tarjota joustava alueellinen kehys, jossa </w:t>
      </w:r>
      <w:r>
        <w:t>hallinnollisilla</w:t>
      </w:r>
      <w:r w:rsidRPr="00630CCA">
        <w:t xml:space="preserve"> aluerajoilla</w:t>
      </w:r>
      <w:r w:rsidR="00E96C8E">
        <w:t xml:space="preserve"> (esimerkiksi postinumeroalue, kunta, maakunta)</w:t>
      </w:r>
      <w:r w:rsidRPr="00630CCA">
        <w:t xml:space="preserve"> ei ole merkitystä </w:t>
      </w:r>
    </w:p>
    <w:p w14:paraId="2C5D2B07" w14:textId="6B850436" w:rsidR="00E96C8E" w:rsidRDefault="00C342FF" w:rsidP="0007786C">
      <w:pPr>
        <w:pStyle w:val="BodyText"/>
        <w:numPr>
          <w:ilvl w:val="0"/>
          <w:numId w:val="18"/>
        </w:numPr>
      </w:pPr>
      <w:r w:rsidRPr="00630CCA">
        <w:t xml:space="preserve">sisällyttää liikenteellinen saavutettavuus matkavastusfunktion kautta. </w:t>
      </w:r>
    </w:p>
    <w:p w14:paraId="21309F31" w14:textId="41EFF429" w:rsidR="00C342FF" w:rsidRPr="00630CCA" w:rsidRDefault="00A17038" w:rsidP="00E96C8E">
      <w:pPr>
        <w:pStyle w:val="Heading3"/>
      </w:pPr>
      <w:bookmarkStart w:id="8" w:name="_Toc76110773"/>
      <w:r>
        <w:lastRenderedPageBreak/>
        <w:t>Mittarin kytkentä kasautumisilmiöön</w:t>
      </w:r>
      <w:bookmarkEnd w:id="8"/>
    </w:p>
    <w:p w14:paraId="6157E38E" w14:textId="77777777" w:rsidR="00C342FF" w:rsidRDefault="00C342FF" w:rsidP="00C342FF">
      <w:pPr>
        <w:pStyle w:val="BodyText"/>
      </w:pPr>
      <w:r w:rsidRPr="00630CCA">
        <w:t>Kasautuminen vaikuttaa tuottavuuteen kolmen eri kanavan kautta: kohtaanto</w:t>
      </w:r>
      <w:r>
        <w:t xml:space="preserve"> (</w:t>
      </w:r>
      <w:r w:rsidRPr="00C40986">
        <w:rPr>
          <w:i/>
          <w:iCs/>
        </w:rPr>
        <w:t>matching</w:t>
      </w:r>
      <w:r>
        <w:t>)</w:t>
      </w:r>
      <w:r w:rsidRPr="00630CCA">
        <w:t>, jakaminen</w:t>
      </w:r>
      <w:r>
        <w:t xml:space="preserve"> (</w:t>
      </w:r>
      <w:r w:rsidRPr="00C40986">
        <w:rPr>
          <w:i/>
          <w:iCs/>
        </w:rPr>
        <w:t>sharing</w:t>
      </w:r>
      <w:r>
        <w:t>)</w:t>
      </w:r>
      <w:r w:rsidRPr="00630CCA">
        <w:t xml:space="preserve"> ja oppiminen</w:t>
      </w:r>
      <w:r>
        <w:t xml:space="preserve"> (</w:t>
      </w:r>
      <w:r w:rsidRPr="00C40986">
        <w:rPr>
          <w:i/>
          <w:iCs/>
        </w:rPr>
        <w:t>learning</w:t>
      </w:r>
      <w:r>
        <w:t>)</w:t>
      </w:r>
      <w:r w:rsidRPr="00630CCA">
        <w:t xml:space="preserve"> (Duranton ja Puga, 2004).</w:t>
      </w:r>
      <w:r w:rsidRPr="00630CCA">
        <w:rPr>
          <w:rStyle w:val="FootnoteReference"/>
          <w:rFonts w:ascii="Times New Roman" w:hAnsi="Times New Roman" w:cs="Times New Roman"/>
          <w:sz w:val="24"/>
          <w:szCs w:val="24"/>
        </w:rPr>
        <w:footnoteReference w:id="2"/>
      </w:r>
      <w:r w:rsidRPr="00630CCA">
        <w:t xml:space="preserve"> Nämä kanavat voivat kuitenkin aiheuttaa osin sekä keskenään päällekkäisiä kasautumishyötyjä että suorien käyttäjähyötyjen ja laajempien taloudellisten hyötyjen kesken päällekkäisiä hyötyjä, joihin </w:t>
      </w:r>
      <w:r>
        <w:t xml:space="preserve">kumpaankaan </w:t>
      </w:r>
      <w:r w:rsidRPr="00630CCA">
        <w:t xml:space="preserve">kirjallisuudessa ei olla vielä paneuduttu tarpeeksi (Graham ja Gibbons, 2019). </w:t>
      </w:r>
    </w:p>
    <w:p w14:paraId="03C1A6BE" w14:textId="77777777" w:rsidR="00C342FF" w:rsidRPr="00630CCA" w:rsidRDefault="00C342FF" w:rsidP="00C342FF">
      <w:pPr>
        <w:pStyle w:val="BodyText"/>
      </w:pPr>
      <w:r w:rsidRPr="00630CCA">
        <w:t xml:space="preserve">Eliasson ja Fosgerau (2019) mukaan hyödyt, jotka syntyvät jakamisesta ja oppimisesta ovat yleisesti ottaen riippumattomia työntekijän työmatkapäätöksistä, kun taas kohtaantoon liittyvät hyödyt eivät. Tämä johtuu siitä, että työntekijät hakeutuvat parempipalkkaisiin töihin lyhyempien työmatka-aikojen ansiosta matkustamalla enemmän saavuttaakseen paremman kohtaannon työpaikan kanssa. Tämän takia kohtaannon luomat hyödyt ovat jo mukana suorissa käyttäjähyödyissä </w:t>
      </w:r>
      <w:r>
        <w:t>(</w:t>
      </w:r>
      <w:r w:rsidRPr="00C40986">
        <w:rPr>
          <w:i/>
          <w:iCs/>
        </w:rPr>
        <w:t>direct user-benefits, DUBs</w:t>
      </w:r>
      <w:r>
        <w:t xml:space="preserve">) </w:t>
      </w:r>
      <w:r w:rsidRPr="00630CCA">
        <w:t xml:space="preserve">matka-aikasäästöjen kautta. Oletus siitä, että kohtaannon aiheuttamat hyödyt on sisäistetty täysin jo suorissa käyttäjähyödyissä, on kuitenkin Graham ja Gibbons (2019) mukaan sekä teoreettisesti epäuskottavaa että ei linjassa empiiristen tutkimusten kanssa. Tämä johtuu osaksi siitä, että työntekijät eivät ainoastaan itse sisäistä paremman kohtaannon hyötyä matka-aikasäästöissä vaan sen sisäistää myös koko työmarkkina ja näin myös Duranton ja Puga (2004) sen ajattelivat. </w:t>
      </w:r>
    </w:p>
    <w:p w14:paraId="37266692" w14:textId="22C6C570" w:rsidR="00C342FF" w:rsidRDefault="00C342FF" w:rsidP="00C342FF">
      <w:pPr>
        <w:pStyle w:val="BodyText"/>
      </w:pPr>
      <w:r w:rsidRPr="00630CCA">
        <w:t>Graham ja Gibbons (2019) mukaan vaikka pysty</w:t>
      </w:r>
      <w:r>
        <w:t>isi</w:t>
      </w:r>
      <w:r w:rsidRPr="00630CCA">
        <w:t xml:space="preserve">mme teoreettisesti erottamaan hyödyt, jotka käyttäjä sisäistää ja jotka ovat matka-aikasäästöinä mukana suorissa käyttäjähyödyissä hyödyistä, jotka ovat käyttäjälle ns. ulkopuolisia ja johtuvat paremmista yhteyksistä ja suuremmasta kanssakäymisestä eri toimijoiden välillä, niiden erottaminen empiirisesti toisistaan on kuitenkin vähemmän selkeää. Tällä hetkellä ei ole siis uskottavaa tapaa erottaa kasautumishyötyjen eri kanavia toisistaan. Tästä huolimatta, tapahtui vaikutus mitä tahansa vaikutuskanavaa pitkin, on se sisällytetty empiiristen tutkimusten tuloksiin. Vaikutuskanava ei ole vain tiedossa. </w:t>
      </w:r>
    </w:p>
    <w:p w14:paraId="5739B492" w14:textId="75EA15B9" w:rsidR="00C342FF" w:rsidRPr="00630CCA" w:rsidRDefault="00A17038" w:rsidP="0007786C">
      <w:pPr>
        <w:pStyle w:val="BodyText"/>
      </w:pPr>
      <w:r>
        <w:t>K</w:t>
      </w:r>
      <w:r w:rsidRPr="00AF5E7F">
        <w:t>irjallisuudessa ei ole vielä täyttä ymmärrystä siitä, mitä parametrejä, suureita ja funktiomuotoja tulisi käyttää ja tehokkaan tiheyden mittarin käyttöön tulisikin suhtautua joustavasti ja seurata tuoretta tutkimuskirjallisuutta.</w:t>
      </w:r>
    </w:p>
    <w:p w14:paraId="5BD13475" w14:textId="77777777" w:rsidR="00C342FF" w:rsidRPr="00630CCA" w:rsidRDefault="00C342FF" w:rsidP="00463345">
      <w:pPr>
        <w:pStyle w:val="Heading3"/>
      </w:pPr>
      <w:bookmarkStart w:id="9" w:name="_Toc76110774"/>
      <w:r w:rsidRPr="00630CCA">
        <w:t>Kasautumisvaikutusten ulottuvuus</w:t>
      </w:r>
      <w:bookmarkEnd w:id="9"/>
    </w:p>
    <w:p w14:paraId="03D64A2B" w14:textId="287C6275" w:rsidR="00C342FF" w:rsidRDefault="00A17038" w:rsidP="00C342FF">
      <w:pPr>
        <w:pStyle w:val="BodyText"/>
      </w:pPr>
      <w:r>
        <w:t>K</w:t>
      </w:r>
      <w:r w:rsidR="00C342FF" w:rsidRPr="00630CCA">
        <w:t>asautumisvaikutu</w:t>
      </w:r>
      <w:r>
        <w:t>sten ulottuvuudesta</w:t>
      </w:r>
      <w:r w:rsidR="00C342FF" w:rsidRPr="00630CCA">
        <w:t xml:space="preserve"> ei ole yksiselitteistä vastausta. Rosenthal ja Strange (2020) mukaan se, että kaupunkien sisällä yritysten jakautuminen on epätasaista saattaa viitata siihen, että henkilökohtaiset vuorovaikutukset ihmisten välillä parantavat kasautumisen tuottavuuden heijastusvaikutuksia ja että ne olisivat yleisempiä työntekijöille ja toimijoille, jotka ovat lähellä toisiaan. </w:t>
      </w:r>
    </w:p>
    <w:p w14:paraId="4EE8090B" w14:textId="1AAA5A5B" w:rsidR="00C342FF" w:rsidRPr="00630CCA" w:rsidRDefault="00C342FF" w:rsidP="00C342FF">
      <w:pPr>
        <w:pStyle w:val="BodyText"/>
      </w:pPr>
      <w:r w:rsidRPr="00630CCA">
        <w:t xml:space="preserve">Useat tutkimukset myös osoittavat, että kasautumisvaikutukset vaimentuvat nopeasti ja ovat hyvin paikallisia. Rosenthal ja Strange (2003) päätyvät siihen, että vaikutus puoliintuu 5 mailin (noin 8 km) jälkeen, Rosenthal ja Strange (2005) löytävät huomattavasti pienempiä vaikutuksia jo yhden mailin (noin 1,6 km) jälkeen. Ahlfeldt ym. (2015) löytävät vastaavia tuloksia, mutta matka-ajan eikä </w:t>
      </w:r>
      <w:r>
        <w:t xml:space="preserve">matkan </w:t>
      </w:r>
      <w:r w:rsidRPr="00630CCA">
        <w:t>pituuden suhteen.  Melo ym. (2017) mukaan suurin osa kasautumisvaikutuksista syntyy</w:t>
      </w:r>
      <w:r>
        <w:t xml:space="preserve"> enintään</w:t>
      </w:r>
      <w:r w:rsidRPr="00630CCA">
        <w:t xml:space="preserve"> 20 minuutin ajomatkan etäisyydel</w:t>
      </w:r>
      <w:r>
        <w:t>l</w:t>
      </w:r>
      <w:r w:rsidRPr="00630CCA">
        <w:t xml:space="preserve">ä, mutta vaikutus voi ulottua noin 60 minuutin ajomatkan päähän. 20 minuutin jälkeen vaikutus </w:t>
      </w:r>
      <w:r w:rsidR="00A17038">
        <w:t>pienenee</w:t>
      </w:r>
      <w:r w:rsidRPr="00630CCA">
        <w:t xml:space="preserve"> kuitenkin reilusti alle yksi kymmenesosaan. Graham ja Melo (2009) taas arvioivat, että työllisten määrän lisääminen alueelle ei kasvata enää niiden alueiden työllisten palkkoja, jotka sijaitsevat yli 75 kilometrin päässä. </w:t>
      </w:r>
    </w:p>
    <w:p w14:paraId="130D55AA" w14:textId="18B1BE9C" w:rsidR="00C342FF" w:rsidRPr="00630CCA" w:rsidRDefault="00C342FF" w:rsidP="0007786C">
      <w:pPr>
        <w:pStyle w:val="BodyText"/>
      </w:pPr>
      <w:r w:rsidRPr="00630CCA">
        <w:lastRenderedPageBreak/>
        <w:t xml:space="preserve">Graham ym. (2010) mukaan kasautumisvaikutusten ulottuvuus vaihtelee myös toimialoittain. Kasautumisen vaikutus heikkenee nopeimmin etäisyyden suhteen palvelualoilla, joilla myös kasautumisen merkitys tuottavuudelle on suurinta. Teollisuusaloilla puolestaan vaikutusten heikkeneminen etäisyyden suhteen on pienempää, mutta niin on myös kasautumisen merkitys tuottavuudelle. Ahlfeldt ja Feddersen (2018) löytävät huomattavasti pidemmälle ulottuvampia vaikutuksia kuin muut tutkimukset. Heidän mukaansa kasautumisen ulkoisvaikutukset vähenevät 2,3 prosentilla jokainen minuutti, mikä vastaa puolittumista 30 minuutin etäisyyden päässä. Tällöin ulkoisvaikutukset tippuvat yhteen prosenttiin 200 minuutin etäisyyden päässä.  He tarkastelevat läänien välisiä vaikutuksia läänitason poikkileikkausaineistoilla, kun taas useat muut tutkimukset keskittyvät lähinnä kaupunkien sisäisiin vaikutuksiin hienojakoisemmilla paneeliaineistoilla, mikä saattaa vaikuttaa saatuihin tuloksiin. </w:t>
      </w:r>
    </w:p>
    <w:p w14:paraId="019C0C5D" w14:textId="11674F71" w:rsidR="00C342FF" w:rsidRPr="00630CCA" w:rsidRDefault="00313C6E" w:rsidP="00A17038">
      <w:pPr>
        <w:pStyle w:val="Heading3"/>
      </w:pPr>
      <w:bookmarkStart w:id="10" w:name="_Toc76110775"/>
      <w:r>
        <w:t>S</w:t>
      </w:r>
      <w:r w:rsidR="00C342FF" w:rsidRPr="00630CCA">
        <w:t>taattiset ja dynaamiset kasautumisvaikutukset</w:t>
      </w:r>
      <w:bookmarkEnd w:id="10"/>
      <w:r w:rsidR="00C342FF" w:rsidRPr="00630CCA">
        <w:t xml:space="preserve"> </w:t>
      </w:r>
    </w:p>
    <w:p w14:paraId="5A9308B3" w14:textId="77777777" w:rsidR="00C342FF" w:rsidRPr="00630CCA" w:rsidRDefault="00C342FF" w:rsidP="00C342FF">
      <w:pPr>
        <w:pStyle w:val="BodyText"/>
      </w:pPr>
      <w:r>
        <w:t xml:space="preserve">Liikennehankkeilla on sekä staattisia että dynaamisia kasautumisvaikutuksia. </w:t>
      </w:r>
      <w:r w:rsidRPr="00630CCA">
        <w:t>Staattisiksi (</w:t>
      </w:r>
      <w:r w:rsidRPr="00C40986">
        <w:rPr>
          <w:i/>
          <w:iCs/>
        </w:rPr>
        <w:t>static</w:t>
      </w:r>
      <w:r w:rsidRPr="00630CCA">
        <w:t xml:space="preserve">) kasautumisvaikutuksiksi kutsutaan sitä, kun työpaikat ja työntekijät pysyvät paikoillaan (sekä asuin- että työpaikan suhteen) eikä alueellinen tiheys muutu, mutta eri alueiden välinen matkavastus muuttuu liikennehankkeen myötä (Gibbons ja Graham, 2019). Tällöin taloudellisilla toimijoilla on edullisempaa olla vuorovaikutuksessa keskenään, olettaen että liikennehanke parantaa yhteyksiä ja siten vähentää matkavastusta.  Liikennehankkeet voivat tehdä jostain paikoista houkuttelevampia työ- ja asuinpaikkoja, mikä vuorostaan voi vaikuttaa niiden työ- ja asuinpaikkojen sijoittautumiseen, maankäyttöön ja niiden aiheuttaman keskittymisen kasvun myötä vielä </w:t>
      </w:r>
      <w:r w:rsidRPr="00A17038">
        <w:t>lisääntyneisiin kasaantumisvaikutuksiin matalamman matkavastuksen lisäksi. Näihin lisääntyneisiin vaikutuksiin viitataan dynaamisina (</w:t>
      </w:r>
      <w:r w:rsidRPr="00C40986">
        <w:rPr>
          <w:i/>
          <w:iCs/>
        </w:rPr>
        <w:t>dynamic</w:t>
      </w:r>
      <w:r w:rsidRPr="00A17038">
        <w:t>) kasautumisvaikutuksina tai klusterointina (</w:t>
      </w:r>
      <w:r w:rsidRPr="00C40986">
        <w:rPr>
          <w:i/>
          <w:iCs/>
        </w:rPr>
        <w:t>clustering</w:t>
      </w:r>
      <w:r w:rsidRPr="00A17038">
        <w:t>). Dynaamiset vaikutukset voivat olla sekä positiivisia että negatiivisia riippuen siitä, kasvattavatko ne kasautumista alueella vai ei. Osa alueista häviää ja osa voittaa muun muassa työ- ja asuinpaikkojen uudelleen sijoittautumisen vuoksi.</w:t>
      </w:r>
      <w:r w:rsidRPr="00630CCA">
        <w:t xml:space="preserve"> </w:t>
      </w:r>
    </w:p>
    <w:p w14:paraId="55C1AEB7" w14:textId="298AAC0F" w:rsidR="00C342FF" w:rsidRDefault="00C342FF" w:rsidP="00C342FF">
      <w:pPr>
        <w:pStyle w:val="BodyText"/>
      </w:pPr>
      <w:r w:rsidRPr="00630CCA">
        <w:t xml:space="preserve">Usein kirjallisuudessa ja hankearvioinneissa keskitytään staattisiin vaikutuksiin, jotka syntyvät, kun työpaikkojen ja työntekijöiden tehokas tiheys muuttuu, vaikka alueen todellinen tiheys pysyy samana. </w:t>
      </w:r>
      <w:r w:rsidR="007702A1">
        <w:t>Dynaamisia vaikutuksia koskevia tutkimuksia ei vielä ole, mutta tämä olisi tärkeä tutkimusalue (Gibbons ja Graham, 2019, s. 3).</w:t>
      </w:r>
    </w:p>
    <w:p w14:paraId="1BF8D5AC" w14:textId="77777777" w:rsidR="00C342FF" w:rsidRPr="00630CCA" w:rsidRDefault="00C342FF" w:rsidP="00463345">
      <w:pPr>
        <w:pStyle w:val="Heading2"/>
      </w:pPr>
      <w:bookmarkStart w:id="11" w:name="_Toc76110776"/>
      <w:r>
        <w:t>Tehokas tiheys</w:t>
      </w:r>
      <w:bookmarkEnd w:id="11"/>
    </w:p>
    <w:p w14:paraId="48626E45" w14:textId="77777777" w:rsidR="00C342FF" w:rsidRPr="00630CCA" w:rsidRDefault="00C342FF" w:rsidP="00463345">
      <w:pPr>
        <w:pStyle w:val="Heading3"/>
      </w:pPr>
      <w:bookmarkStart w:id="12" w:name="_Toc76110777"/>
      <w:r w:rsidRPr="00630CCA">
        <w:t>Aluejako</w:t>
      </w:r>
      <w:bookmarkEnd w:id="12"/>
    </w:p>
    <w:p w14:paraId="032D2902" w14:textId="77777777" w:rsidR="00C342FF" w:rsidRDefault="00C342FF" w:rsidP="00C342FF">
      <w:pPr>
        <w:pStyle w:val="BodyText"/>
      </w:pPr>
      <w:r w:rsidRPr="00630CCA">
        <w:t>Aluejako (</w:t>
      </w:r>
      <w:r w:rsidRPr="00C40986">
        <w:rPr>
          <w:i/>
          <w:iCs/>
        </w:rPr>
        <w:t>zone</w:t>
      </w:r>
      <w:r w:rsidRPr="00630CCA">
        <w:t>), minkä suhteen taloudellinen massa, jota käsitellään seuraavassa kappaleessa, lasketaan, vaihtelee hyvin paljon eri tutkimusten välillä. Graham ja Dender (2011) viittaavat tehokkaan tiheyden mittarin yhteydessä käytettäväksi ”pieniä alueita” (</w:t>
      </w:r>
      <w:r w:rsidRPr="00C40986">
        <w:rPr>
          <w:i/>
          <w:iCs/>
        </w:rPr>
        <w:t>small zones</w:t>
      </w:r>
      <w:r w:rsidRPr="00630CCA">
        <w:t>).</w:t>
      </w:r>
      <w:r w:rsidRPr="00630CCA">
        <w:rPr>
          <w:rStyle w:val="FootnoteReference"/>
          <w:rFonts w:ascii="Times New Roman" w:hAnsi="Times New Roman" w:cs="Times New Roman"/>
          <w:sz w:val="24"/>
          <w:szCs w:val="24"/>
        </w:rPr>
        <w:footnoteReference w:id="3"/>
      </w:r>
      <w:r w:rsidRPr="00630CCA">
        <w:t xml:space="preserve"> </w:t>
      </w:r>
      <w:r>
        <w:t xml:space="preserve">Graham ja Gibbons (2019) sanovat myös, että tehokas tiheys tulisi laskea </w:t>
      </w:r>
      <w:r w:rsidRPr="00A17038">
        <w:t>kiinnostuksen kohteena olevan kaupungin tai seudun sisällä oleville pienille alueille.</w:t>
      </w:r>
      <w:r>
        <w:t xml:space="preserve"> </w:t>
      </w:r>
    </w:p>
    <w:p w14:paraId="768AE054" w14:textId="77777777" w:rsidR="00C342FF" w:rsidRPr="00630CCA" w:rsidRDefault="00C342FF" w:rsidP="00C342FF">
      <w:pPr>
        <w:pStyle w:val="BodyText"/>
      </w:pPr>
      <w:r w:rsidRPr="00630CCA">
        <w:t>Börjesson ym. (2019) käyttävät 250 m x 250 m (0,06 km</w:t>
      </w:r>
      <w:r w:rsidRPr="00630CCA">
        <w:rPr>
          <w:vertAlign w:val="superscript"/>
        </w:rPr>
        <w:t>2</w:t>
      </w:r>
      <w:r w:rsidRPr="00630CCA">
        <w:t>) ja 1000 m x 1000 m (1,0 km</w:t>
      </w:r>
      <w:r w:rsidRPr="00630CCA">
        <w:rPr>
          <w:vertAlign w:val="superscript"/>
        </w:rPr>
        <w:t>2</w:t>
      </w:r>
      <w:r w:rsidRPr="00630CCA">
        <w:t>) kokoisia ruudukoita riippuen siitä, onko alue kaupunkialueella vai maaseudulla. Ahlfeldt ym. (2015) käyttänee Börjesson ym. (2019) ohella yksityiskohtaisinta aluejakoa. He käyttävät korttelitason alueita, joiden keskikoko on noin 50 000 m</w:t>
      </w:r>
      <w:r w:rsidRPr="00630CCA">
        <w:rPr>
          <w:vertAlign w:val="superscript"/>
        </w:rPr>
        <w:t>2</w:t>
      </w:r>
      <w:r w:rsidRPr="00630CCA">
        <w:t xml:space="preserve"> (0,05 km</w:t>
      </w:r>
      <w:r w:rsidRPr="00630CCA">
        <w:rPr>
          <w:vertAlign w:val="superscript"/>
        </w:rPr>
        <w:t>2</w:t>
      </w:r>
      <w:r w:rsidRPr="00630CCA">
        <w:t xml:space="preserve">). </w:t>
      </w:r>
      <w:r>
        <w:t xml:space="preserve">On kuitenkin huomioitava, </w:t>
      </w:r>
      <w:r w:rsidRPr="00630CCA">
        <w:t xml:space="preserve">että heidän tutkimuksensa koskee vain Berliiniä, jossa kortteleita oli yhteensä vajaa 16 000 vuonna 2006, eikä </w:t>
      </w:r>
      <w:r w:rsidRPr="00630CCA">
        <w:lastRenderedPageBreak/>
        <w:t xml:space="preserve">koko maata. </w:t>
      </w:r>
      <w:r>
        <w:t xml:space="preserve">Esimerkiksi </w:t>
      </w:r>
      <w:r w:rsidRPr="00630CCA">
        <w:t xml:space="preserve">Börjesson ym. (2019) tarkastelevat Keski-Ruotsia, johon sisältyy Tukholman metropolialueen lisäksi muitakin alueita. </w:t>
      </w:r>
    </w:p>
    <w:p w14:paraId="48CCF5F9" w14:textId="77777777" w:rsidR="00C342FF" w:rsidRPr="00630CCA" w:rsidRDefault="00C342FF" w:rsidP="00C342FF">
      <w:pPr>
        <w:pStyle w:val="BodyText"/>
      </w:pPr>
      <w:r w:rsidRPr="00630CCA">
        <w:t>Gibbons ym. (2019) käyttävät vaalialueita (</w:t>
      </w:r>
      <w:r w:rsidRPr="00C40986">
        <w:rPr>
          <w:i/>
          <w:iCs/>
        </w:rPr>
        <w:t>electroral ward</w:t>
      </w:r>
      <w:r w:rsidRPr="00630CCA">
        <w:t>), joita on Isossa-Britanniassa noin 10 300. Vaalialueiden keskikoko on noin 24km</w:t>
      </w:r>
      <w:r w:rsidRPr="00630CCA">
        <w:rPr>
          <w:vertAlign w:val="superscript"/>
        </w:rPr>
        <w:t>2</w:t>
      </w:r>
      <w:r w:rsidRPr="00630CCA">
        <w:t xml:space="preserve"> ja tiheämmin asutuilla alueilla vaalialueet ovat pienempiä ja haja-asutuilla alueilla vastaavasti suurempia. Graham ja Dender (2010) ja Graham ym. (2010) käyttävät Isossa-Britanniassa postikoodisektoritason aineistoa (</w:t>
      </w:r>
      <w:r w:rsidRPr="00C40986">
        <w:rPr>
          <w:i/>
          <w:iCs/>
        </w:rPr>
        <w:t>Post code sector, PCS</w:t>
      </w:r>
      <w:r w:rsidRPr="00630CCA">
        <w:t xml:space="preserve">), jossa yksi sektori saattaa sisältää useita postinumeroita. Yhteensä postikoodisektoreita on aineistossa 11 344. </w:t>
      </w:r>
      <w:r>
        <w:t xml:space="preserve">Maré ja Graham (2013) käyttävät Uudessa-Seelannissa nk. Area Unit:eja, joiden keskimääräinen koko on 140 </w:t>
      </w:r>
      <w:r w:rsidRPr="00630CCA">
        <w:t>km</w:t>
      </w:r>
      <w:bookmarkStart w:id="13" w:name="_Hlk61525215"/>
      <w:r w:rsidRPr="00630CCA">
        <w:rPr>
          <w:vertAlign w:val="superscript"/>
        </w:rPr>
        <w:t>2</w:t>
      </w:r>
      <w:bookmarkEnd w:id="13"/>
      <w:r>
        <w:rPr>
          <w:vertAlign w:val="superscript"/>
        </w:rPr>
        <w:t xml:space="preserve"> </w:t>
      </w:r>
      <w:r>
        <w:t>ja työllisyydessä mitattuna 1 000 henkilöä. Alueiden koko vaihtelee kuitenkin paljon ja esimerkiksi Aucklandin kaupungissa ja Aucklandin alueella alueiden keskikoko on huomattavasti pienempi pinta-alaltaan (5,5 km</w:t>
      </w:r>
      <w:r w:rsidRPr="00630CCA">
        <w:rPr>
          <w:vertAlign w:val="superscript"/>
        </w:rPr>
        <w:t>2</w:t>
      </w:r>
      <w:r>
        <w:t xml:space="preserve"> ja 13 km</w:t>
      </w:r>
      <w:r w:rsidRPr="00630CCA">
        <w:rPr>
          <w:vertAlign w:val="superscript"/>
        </w:rPr>
        <w:t>2</w:t>
      </w:r>
      <w:r>
        <w:t xml:space="preserve">, vastaavasti) ja suurempi työllisten määrän suhteen (2 500 ja 1 500 työllistä, vastaavasti). </w:t>
      </w:r>
      <w:r w:rsidRPr="00630CCA">
        <w:t>Ahlfeldt ja Feddersen (2018) käyttävät vuorostaan karkeampaa läänitason aineistoa Saksasta. Saksassa läänien koko vaihtelee 35 km</w:t>
      </w:r>
      <w:r w:rsidRPr="00630CCA">
        <w:rPr>
          <w:vertAlign w:val="superscript"/>
        </w:rPr>
        <w:t>2</w:t>
      </w:r>
      <w:r w:rsidRPr="00630CCA">
        <w:t xml:space="preserve"> ja 3 058 km</w:t>
      </w:r>
      <w:r w:rsidRPr="00630CCA">
        <w:rPr>
          <w:vertAlign w:val="superscript"/>
        </w:rPr>
        <w:t xml:space="preserve">2 </w:t>
      </w:r>
      <w:r w:rsidRPr="00630CCA">
        <w:t>välillä.</w:t>
      </w:r>
      <w:r w:rsidRPr="00630CCA">
        <w:rPr>
          <w:rStyle w:val="FootnoteReference"/>
          <w:rFonts w:ascii="Times New Roman" w:hAnsi="Times New Roman" w:cs="Times New Roman"/>
          <w:sz w:val="24"/>
          <w:szCs w:val="24"/>
        </w:rPr>
        <w:footnoteReference w:id="4"/>
      </w:r>
      <w:r w:rsidRPr="00630CCA">
        <w:t xml:space="preserve"> </w:t>
      </w:r>
    </w:p>
    <w:p w14:paraId="7A051ACF" w14:textId="77777777" w:rsidR="00C342FF" w:rsidRPr="00630CCA" w:rsidRDefault="00C342FF" w:rsidP="00C342FF">
      <w:pPr>
        <w:pStyle w:val="BodyText"/>
      </w:pPr>
      <w:r w:rsidRPr="00630CCA">
        <w:t>Graham ja Gibbons (2019) osoittavat visualisoinnein, miten alueiden maantieteellisen koon vaihtelu vaikuttaa alueiden keskimääräiseen tehokkaaseen tiheyteen</w:t>
      </w:r>
      <w:r>
        <w:t>, jos euklidista etäisyyttä käytetään kuvaamaan matkavastusta</w:t>
      </w:r>
      <w:r w:rsidRPr="00630CCA">
        <w:t xml:space="preserve">. Maantieteellisesti pienemmät alueet saavat suurempia tehokkaan tiheyden arvoja verrattuna saman taloudellisen massan omaaviin suurempiin alueisiin. Tämä johtuu siitä, että pienten alueiden keskipisteet ovat lähempänä toisien pienten alueiden keskipisteitä, eli etäisyydet ovat pienempiä ja saavat siten enemmän painoarvoa tehokkaan tiheyden mittarissa. Graham ja Gibbons (2019) eivät kuitenkaan valitettavasti käsittele sitä, kuinka keskimääräinen tehokas tiheys muuttuu, jos aluejako muuttuu, mutta maankäyttö pysyy ennallaan. Se, että aluejaon muuttuessa keskimääräinen tehokas tiheys muuttuisi, ei ole toivottu ominaisuus. Tällöin aineistojen maantieteellinen tarkentuminen muuttaisi keskimääräisiä tehokkaita tiheyksiä ja siten mahdollisesti arvioita kasautumisvaikutuksista. </w:t>
      </w:r>
    </w:p>
    <w:p w14:paraId="7A0BA7BF" w14:textId="69D5CC96" w:rsidR="00C342FF" w:rsidRPr="00630CCA" w:rsidRDefault="00C342FF" w:rsidP="00A17038">
      <w:pPr>
        <w:pStyle w:val="BodyText"/>
      </w:pPr>
      <w:r w:rsidRPr="0007786C">
        <w:t>Aineistojen saatavuus tuntuu rajaavan eniten tutkimuksissa käytettyä aluejakoa.</w:t>
      </w:r>
      <w:r w:rsidRPr="00630CCA">
        <w:t xml:space="preserve"> Aluejakoa rajaa myös se, mille tasolle matkavastus on johdettavissa. Pienestä alueesta ei ole hyötyä, mikäli sille ei ole saatavilla tehokkaaseen tiheyteen tarvittavia mittoja, kuten suuretta, jolla kuvataan taloudellista massaa ja matkavastuksia eri alueiden välillä. Tärkeää olisi myös käyttää paneeliaineistoa poikkileikkausaineiston sijaan, jolloin osiossa mainittuun nk. endogeenisuusongelmaan päästään paremmin käsiksi</w:t>
      </w:r>
      <w:r w:rsidR="00463345">
        <w:t xml:space="preserve"> (kts. tarkemmin luku 3.4)</w:t>
      </w:r>
      <w:r w:rsidRPr="00630CCA">
        <w:t xml:space="preserve">.  </w:t>
      </w:r>
    </w:p>
    <w:p w14:paraId="2C2F4738" w14:textId="77777777" w:rsidR="00C342FF" w:rsidRPr="00630CCA" w:rsidRDefault="00C342FF" w:rsidP="00463345">
      <w:pPr>
        <w:pStyle w:val="Heading3"/>
      </w:pPr>
      <w:bookmarkStart w:id="14" w:name="_Toc76110778"/>
      <w:r>
        <w:t>Taloudellinen massa</w:t>
      </w:r>
      <w:bookmarkEnd w:id="14"/>
    </w:p>
    <w:p w14:paraId="2CCBFA80" w14:textId="473C3A7F" w:rsidR="00C342FF" w:rsidRPr="00630CCA" w:rsidRDefault="00C342FF" w:rsidP="00C342FF">
      <w:pPr>
        <w:pStyle w:val="BodyText"/>
      </w:pPr>
      <w:r w:rsidRPr="00630CCA">
        <w:t>Taloudellista massaa, jolla kuvataan kasautumista, on kuvattu kirjallisuudessa usealla eri suureella, joita ovat mm. arvonlisäys (</w:t>
      </w:r>
      <w:r w:rsidRPr="00C40986">
        <w:rPr>
          <w:i/>
          <w:iCs/>
        </w:rPr>
        <w:t>gross value added, GVA</w:t>
      </w:r>
      <w:r w:rsidRPr="00630CCA">
        <w:t>), työ</w:t>
      </w:r>
      <w:r w:rsidR="00191190">
        <w:t>voiman</w:t>
      </w:r>
      <w:r w:rsidRPr="00630CCA">
        <w:t>, asukasluku, työpaikkojen määrä, palkkasumma ja työtunnit. Osa suureista perustuu kokonaislukuihin, kuten asukaslukuun ja osa tiheyteen, kuten asukasluku per alueen koko. Tiheyteen perustuvat mittarit ottavat paremmin huomioon tuottavuushyödyt, jotka syntyvät alueellisesti keskittyne</w:t>
      </w:r>
      <w:r>
        <w:t>e</w:t>
      </w:r>
      <w:r w:rsidRPr="00630CCA">
        <w:t>stä taloudellisesta toiminnasta, kun taas pelkkään asukaslukuun perustuvat mittarit heijastavat myös kaupunkien palveluita ja mukavuuksia sekä mahdollisia ruuhkista koituvia kustannuksia. Tiheyteen perustuvat mittarit eivät myöskään ole riippuvaisia alueen koosta, mikä puoltaa niiden käyttöä etenkin, jos alueet ovat hyvin erikokoisia pinta-alaltaan. Tihey</w:t>
      </w:r>
      <w:r>
        <w:t>den</w:t>
      </w:r>
      <w:r w:rsidRPr="00630CCA">
        <w:t xml:space="preserve"> kuten myös absoluuttisten määrien päärajoite on oletus siitä, että kasautumisvaikutukset rajoittuvat tietylle </w:t>
      </w:r>
      <w:r>
        <w:t xml:space="preserve">tarkasteltavalle </w:t>
      </w:r>
      <w:r w:rsidRPr="00630CCA">
        <w:t>alueelle. Tähän ratkaisuna toimii kuitenkin tehokkaan tiheyden mittarin käyttö. Tehokkaan tiheyden mittaria ei ole rajoitettu tietylle alueelle ja se mahdollistaa kasautumis</w:t>
      </w:r>
      <w:r w:rsidRPr="00630CCA">
        <w:lastRenderedPageBreak/>
        <w:t>vaikutusten ulottu</w:t>
      </w:r>
      <w:r>
        <w:t>misen</w:t>
      </w:r>
      <w:r w:rsidRPr="00630CCA">
        <w:t xml:space="preserve"> kauemmaksi (vähentyen etäisyyden suhteen). Seuraavassa kahdessa osiossa käymme</w:t>
      </w:r>
      <w:r>
        <w:t>kin</w:t>
      </w:r>
      <w:r w:rsidRPr="00630CCA">
        <w:t xml:space="preserve"> läpi etäisyysmittaa ja etäisyyden merkitystä, jotka luovat yhdessä valitun suureen kanssa tehokkaan tiheyden mittarin. </w:t>
      </w:r>
    </w:p>
    <w:p w14:paraId="2855BB18" w14:textId="22DEC006" w:rsidR="00C342FF" w:rsidRPr="00630CCA" w:rsidRDefault="00C342FF" w:rsidP="00C342FF">
      <w:pPr>
        <w:pStyle w:val="BodyText"/>
      </w:pPr>
      <w:r w:rsidRPr="00630CCA">
        <w:t xml:space="preserve">Tärkeä kysymys kuitenkin on, mitä suuretta tulisi käyttää tehokkaan tiheyden mittarissa. Merkittävä osa </w:t>
      </w:r>
      <w:r>
        <w:t xml:space="preserve">tehokkaan tiheyden mittaria käyttävistä </w:t>
      </w:r>
      <w:r w:rsidRPr="00630CCA">
        <w:t>tuoreista tutkimuksista käyttävät työ</w:t>
      </w:r>
      <w:r w:rsidR="00191190">
        <w:t>voiman</w:t>
      </w:r>
      <w:r w:rsidRPr="00630CCA">
        <w:t xml:space="preserve"> tai työpaikkojen määrää kuvaamaan taloudellista kasautumista (ks. esim. Gibbons ym. (2019), Börjesson ym. (2019), Melo ym. (2017)</w:t>
      </w:r>
      <w:r>
        <w:t xml:space="preserve">, </w:t>
      </w:r>
      <w:r w:rsidRPr="00630CCA">
        <w:t>Ahlfeldt ym. (2015)</w:t>
      </w:r>
      <w:r>
        <w:t xml:space="preserve"> ja Maré ja Graham (2013)</w:t>
      </w:r>
      <w:r w:rsidRPr="00630CCA">
        <w:t>). Näistä muun muassa Gibbons ym. (2019) näyttävät, että tulokset eivät ole kuitenkaan kovin herkkiä sille, jos</w:t>
      </w:r>
      <w:r>
        <w:t xml:space="preserve"> kasautumista kuvaamaan</w:t>
      </w:r>
      <w:r w:rsidRPr="00630CCA">
        <w:t xml:space="preserve"> käytetään muita suureita, kuten työllisyyttä eri vuosina, asukaslukua ja toimipaikkojen määrää, vaan </w:t>
      </w:r>
      <w:r>
        <w:t xml:space="preserve">ne </w:t>
      </w:r>
      <w:r w:rsidRPr="00630CCA">
        <w:t xml:space="preserve">säilyvät hyvin samankaltaisina. Melo ym. (2017) käyttävät sekä työllisten määrä että työllisten saavutettavuutta, jotka molemmat antavat samankaltaisia tuloksia. Jälkimmäinen mittaa sitä, moneenko työpaikkaan tyypillinen matkaaja ehtii tietyssä ajassa. Saavutettavuuteen vaikuttaa alueen työllisten tiheys, aika, keskimääräinen nopeus ja keskimääräinen ympärysmitta ja se vastaa tehokkaan tiheyden mittaria. </w:t>
      </w:r>
    </w:p>
    <w:p w14:paraId="7BF76334" w14:textId="65291322" w:rsidR="00C342FF" w:rsidRPr="00630CCA" w:rsidRDefault="00C342FF" w:rsidP="00C342FF">
      <w:pPr>
        <w:pStyle w:val="BodyText"/>
      </w:pPr>
      <w:r>
        <w:t>Graham ja Gibbons (2019) mukaan työllisyyttä ja asukaslukua käytetään usein sen takia, että ne ovat valmiiksi saatavilla etenkin pienille alueille. Siitä huolimatta</w:t>
      </w:r>
      <w:r w:rsidRPr="00630CCA">
        <w:t>, jos otetut suureet kuvaavat taloudellista skaalaa, niistä johdetut tehokkaat tiheydet noudattavat käytännössä samanlaista alueellista jakoa. Käyttäen työllisten määrää ja asukaslukua, Graham ja Gibbons (2019) saavat niistä johdettujen tehokkaan tiheyksien korrelaatioksi hyvin vahvan (0,95), vaikka työ</w:t>
      </w:r>
      <w:r w:rsidR="00F83AF2">
        <w:t>llisten</w:t>
      </w:r>
      <w:r w:rsidRPr="00630CCA">
        <w:t xml:space="preserve"> avulla lasketuissa tehokkaissa tiheyksissä onkin sellaisia keskittymiä, joita asukasluvulla lasketuissa tehokkaissa tiheyksissä ei esiinny. He ehdottavatkin, että on erittäin epätodennäköistä, että oppisimme jotakin ainutlaatuista käyttämällä jotakin toista mittaria toisen sijaan. Gaubert (2018) perustelee työ</w:t>
      </w:r>
      <w:r w:rsidR="00F83AF2">
        <w:t>llisten</w:t>
      </w:r>
      <w:r w:rsidRPr="00630CCA">
        <w:t xml:space="preserve"> määrän käyttöä sillä, että haluaa mitan heijastavan tiedon leviämistä (</w:t>
      </w:r>
      <w:r w:rsidRPr="00C40986">
        <w:rPr>
          <w:i/>
          <w:iCs/>
        </w:rPr>
        <w:t>knowledge spillovers</w:t>
      </w:r>
      <w:r w:rsidRPr="00630CCA">
        <w:t xml:space="preserve">) tai </w:t>
      </w:r>
      <w:r w:rsidRPr="00463345">
        <w:t>työmarkkinoiden kohtaantoa</w:t>
      </w:r>
      <w:r w:rsidRPr="00630CCA">
        <w:t xml:space="preserve"> (labor market pooling), jotka molemmat riippuvat työvoiman määrästä.</w:t>
      </w:r>
      <w:r w:rsidRPr="00630CCA">
        <w:rPr>
          <w:rStyle w:val="FootnoteReference"/>
          <w:rFonts w:ascii="Times New Roman" w:hAnsi="Times New Roman" w:cs="Times New Roman"/>
          <w:sz w:val="24"/>
          <w:szCs w:val="24"/>
        </w:rPr>
        <w:footnoteReference w:id="5"/>
      </w:r>
    </w:p>
    <w:p w14:paraId="5CD4D2BF" w14:textId="4A169353" w:rsidR="00C342FF" w:rsidRPr="00630CCA" w:rsidRDefault="00C342FF" w:rsidP="00A17038">
      <w:pPr>
        <w:pStyle w:val="BodyText"/>
      </w:pPr>
      <w:r w:rsidRPr="00630CCA">
        <w:t>Aikaisempien tutkimusten perusteella työllisten määrä lienee paras tapa kuvaamaan taloudellista kasautumista, varsinkin kun</w:t>
      </w:r>
      <w:r>
        <w:t xml:space="preserve"> tarkastellaan</w:t>
      </w:r>
      <w:r w:rsidRPr="00630CCA">
        <w:t xml:space="preserve"> sen vaikutuksia tuottavuuteen. Tästä huolimatta, mikäli tuota kyseistä suuretta ei ole saatavilla, ei olemassa olevien tutkimusten perusteella mennä kovin paljoa vikaan käyttämällä muita suureita, kuten esimerkiksi asukaslukua. </w:t>
      </w:r>
    </w:p>
    <w:p w14:paraId="6BA5BFDA" w14:textId="77777777" w:rsidR="00C342FF" w:rsidRPr="00630CCA" w:rsidRDefault="00C342FF" w:rsidP="00463345">
      <w:pPr>
        <w:pStyle w:val="Heading3"/>
      </w:pPr>
      <w:bookmarkStart w:id="15" w:name="_Toc76110779"/>
      <w:r w:rsidRPr="00630CCA">
        <w:t>Etäisyysmitta</w:t>
      </w:r>
      <w:bookmarkEnd w:id="15"/>
    </w:p>
    <w:p w14:paraId="50BDFF90" w14:textId="77777777" w:rsidR="00C342FF" w:rsidRPr="00630CCA" w:rsidRDefault="00C342FF" w:rsidP="00C342FF">
      <w:pPr>
        <w:pStyle w:val="BodyText"/>
      </w:pPr>
      <w:r w:rsidRPr="00630CCA">
        <w:t>Etäisyysmitta</w:t>
      </w:r>
      <w:r>
        <w:t xml:space="preserve"> </w:t>
      </w:r>
      <w:r w:rsidRPr="00630CCA">
        <w:t>(</w:t>
      </w:r>
      <w:r w:rsidRPr="00C40986">
        <w:rPr>
          <w:i/>
          <w:iCs/>
        </w:rPr>
        <w:t>impedance function</w:t>
      </w:r>
      <w:r w:rsidRPr="00630CCA">
        <w:t>) kuvaa alueiden välistä matkavastusta. Etäisyysmittaehdokkaita kirjallisuudessa on tyypillisesti ollut etäisyys (esimerkiksi euklidinen tai reittikohtainen), matka-aika, keskinopeus, rahallinen kustannus tai yleiset matkakustannukset (esim. aika ja rahalliset kustannukset). Graham ja Gibbons</w:t>
      </w:r>
      <w:r>
        <w:t xml:space="preserve"> (2019)</w:t>
      </w:r>
      <w:r w:rsidRPr="00630CCA">
        <w:t xml:space="preserve"> mukaan kaikille näille mitoille (paitsi tietenkin euklidiselle etäisyydelle) tulisi laskea kulkutapakohtaiset arvot. Heidän mukaansa yleisin näistä matkavastusmittareista on yleinen kustannus (</w:t>
      </w:r>
      <w:r w:rsidRPr="00C40986">
        <w:rPr>
          <w:i/>
          <w:iCs/>
        </w:rPr>
        <w:t>generalised/general cost</w:t>
      </w:r>
      <w:r w:rsidRPr="00630CCA">
        <w:t xml:space="preserve">) joka lasketaan erikseen jokaiselle kulkutavalle. Se sisältää muun muassa ajan rahallisen kustannuksen, matkan hinnan, matkan laadun rahallisen arvostuksen ja odotusajat. Yleinen kustannus voi myös vaihdella samalle matkalle saman päivän aikana riippuen matkustusoloista, kuten ruuhkista. Kulkutapakeskeiset yleiskustannusmitat ovat parempi vaihtoehto kuin etäisyyspohjaiset, koska ne ottavat huomioon ruuhkat ja siten arvioivat paremmin todellisen matkavastuksen kuin pelkkään etäisyyteen perustuvat. Kaikki pelkkään etäisyyteen pohjautuvat mitat (kuten </w:t>
      </w:r>
      <w:r w:rsidRPr="00630CCA">
        <w:lastRenderedPageBreak/>
        <w:t xml:space="preserve">esim. edellä mainittu euklidinen etäisyys) eivät ota myöskään huomioon liikennehankkeiden vaikutuksia matkavastukseen, koska ne säilyvät samana, eikä niillä voida niitä siten arvioida. </w:t>
      </w:r>
    </w:p>
    <w:p w14:paraId="24020A69" w14:textId="77777777" w:rsidR="00C342FF" w:rsidRPr="00630CCA" w:rsidRDefault="00C342FF" w:rsidP="00C342FF">
      <w:pPr>
        <w:pStyle w:val="BodyText"/>
      </w:pPr>
      <w:r w:rsidRPr="00630CCA">
        <w:t xml:space="preserve">Combes ja Lafourcade (2005) mukaan yleinen kustannus, joka riippuu niin ajallisista kuin etäisyyksistä johtuvista kustannuksista korreloi hyvin vahvasti yksinkertaisempien matkavastusmittojen kuten </w:t>
      </w:r>
      <w:r>
        <w:t>ajan, etäisyyden</w:t>
      </w:r>
      <w:r w:rsidRPr="00630CCA">
        <w:t xml:space="preserve"> ja linnuntie</w:t>
      </w:r>
      <w:r>
        <w:t>-</w:t>
      </w:r>
      <w:r w:rsidRPr="00630CCA">
        <w:t>etäisyyden (</w:t>
      </w:r>
      <w:r w:rsidRPr="00C40986">
        <w:rPr>
          <w:i/>
          <w:iCs/>
        </w:rPr>
        <w:t>great circle distance</w:t>
      </w:r>
      <w:r w:rsidRPr="00630CCA">
        <w:t>) kanssa. Eroja mittojen välillä kuitenkin on</w:t>
      </w:r>
      <w:r>
        <w:t>:</w:t>
      </w:r>
      <w:r w:rsidRPr="00630CCA">
        <w:t xml:space="preserve"> pelkkään etäisyyteen perustuvat mitat aliarvioivat kustannusta, kun matka on keskusta-alueille ja yliarvioivat kustannuksia reuna-alueille, kun taas aikaan perustuvat mittarit yliarvioivat kustannuksia keskusta-alueille ja aliarvioivat niitä reuna-alueille. Nämä erot johtuvat mm. keskinopeuksista, lastausajoista ja maantieteestä ja niiden aiheuttamista kustannuseroista. </w:t>
      </w:r>
    </w:p>
    <w:p w14:paraId="7D56227A" w14:textId="7CCE3C8D" w:rsidR="00C342FF" w:rsidRPr="00630CCA" w:rsidRDefault="00C342FF" w:rsidP="00C342FF">
      <w:pPr>
        <w:pStyle w:val="BodyText"/>
      </w:pPr>
      <w:r w:rsidRPr="00630CCA">
        <w:t xml:space="preserve">Graham ja Gibbons (2019) päätyvät siihen, että eri kulkutavat huomioonottava matkavastusmittari on paras, sillä se ottaa </w:t>
      </w:r>
      <w:r w:rsidRPr="00313C6E">
        <w:t xml:space="preserve">huomioon myös ruuhkautumisen ja sitten mittaa alueiden välistä aitoa liikkumisen vaikeutta. </w:t>
      </w:r>
      <w:r w:rsidR="00247FC5" w:rsidRPr="00313C6E">
        <w:t xml:space="preserve">Samalla he huomauttavat ruuhkautumisen endogeenisuusongelman siltä osin, kun ruuhkautuminen johtuu väestö- ja työpaikkatiheyden muutoksesta eikä pelkästään liikennejärjestelmän muutoksesta. </w:t>
      </w:r>
      <w:r w:rsidRPr="00313C6E">
        <w:t>Koska eri kulkumuotojen matkavastukset korreloivat hyvin vahvasti keskenään, ei niitä voida käyttää erillisinä selittävinä muuttujina. Ratkaisuksi he ehdottavat</w:t>
      </w:r>
      <w:r w:rsidRPr="00630CCA">
        <w:t xml:space="preserve">, että eri kulkumuodoista lasketuista yleiskustannuksista yhdistetään yksi keskiarvo esimerkiksi painottaen matka-aikaan ja -kustannukseen liittyvillä komponenteilla käyttäen painotuksia havaitusta käyttäytymisestä. </w:t>
      </w:r>
    </w:p>
    <w:p w14:paraId="6C759555" w14:textId="3B59611E" w:rsidR="00C342FF" w:rsidRPr="00630CCA" w:rsidRDefault="00C342FF" w:rsidP="00C342FF">
      <w:pPr>
        <w:pStyle w:val="BodyText"/>
      </w:pPr>
      <w:r w:rsidRPr="00630CCA">
        <w:t>Osa tutkimuksista käyttää hyödyksi kansallista liikennemallia (esim. Börjesson ym. 2019). Börjesson</w:t>
      </w:r>
      <w:r>
        <w:t xml:space="preserve"> ym.</w:t>
      </w:r>
      <w:r w:rsidRPr="00630CCA">
        <w:t xml:space="preserve"> (2019) yhdistävät jokaisen työntekijän toimipaikkaan ja laskevat työ</w:t>
      </w:r>
      <w:r w:rsidR="00F83AF2">
        <w:t>llisten</w:t>
      </w:r>
      <w:r w:rsidRPr="00630CCA">
        <w:t xml:space="preserve"> välisen saavutettavuuden, eli yleiskustannuksen, kaikilla kulkutavoilla (yhteensä neljä eri kulkutapaa: auto, pyörä, julkinen liikenne ja kävely) käyttäen kansallista liikennemallia. Tällä kyseisellä liikennemallilla Ruotsin hallitus tekee liikennehankkeiden kustannus</w:t>
      </w:r>
      <w:r>
        <w:t>-</w:t>
      </w:r>
      <w:r w:rsidRPr="00630CCA">
        <w:t xml:space="preserve">hyötyanalyysit ja </w:t>
      </w:r>
      <w:r>
        <w:t xml:space="preserve">sen pohjalla olevaa logit-mallia </w:t>
      </w:r>
      <w:r w:rsidRPr="00630CCA">
        <w:t xml:space="preserve">käytetään </w:t>
      </w:r>
      <w:r>
        <w:t>myös</w:t>
      </w:r>
      <w:r w:rsidRPr="00630CCA">
        <w:t xml:space="preserve"> Helsingin seudun liikenne-ennustemallissa (HELMET). Malli ottaa huomioon m</w:t>
      </w:r>
      <w:r>
        <w:t>uun muassa</w:t>
      </w:r>
      <w:r w:rsidRPr="00630CCA">
        <w:t xml:space="preserve"> matka-aikaan liittyvät komponentit (kuten mm. odotusajat, kulkuneuvossa oloajan ja kävelyajan), rahallisen matkakustannuksen ja matkustajien määrän jokaiselle kulkumuodolle</w:t>
      </w:r>
      <w:r>
        <w:t>,</w:t>
      </w:r>
      <w:r w:rsidRPr="00630CCA">
        <w:t xml:space="preserve"> ja laskee näistä yleiskustannuksen matkalle. Börjesson (2019) käyttämä yleiskustannus on painotettu keskiarvo eri kulkutavoilla</w:t>
      </w:r>
      <w:r w:rsidR="00463345">
        <w:t>.</w:t>
      </w:r>
    </w:p>
    <w:p w14:paraId="75EED72F" w14:textId="77777777" w:rsidR="00C342FF" w:rsidRPr="00630CCA" w:rsidRDefault="00C342FF" w:rsidP="00C342FF">
      <w:pPr>
        <w:pStyle w:val="BodyText"/>
      </w:pPr>
      <w:r w:rsidRPr="00630CCA">
        <w:t xml:space="preserve">Glaeser ja Khan (2004) mukaan kasautuminen itsessään ei ole se, mikä tuottaa hyötyä, vaan </w:t>
      </w:r>
      <w:r>
        <w:t xml:space="preserve">kasautumishyödyt tuottaa </w:t>
      </w:r>
      <w:r w:rsidRPr="00630CCA">
        <w:t>se</w:t>
      </w:r>
      <w:r>
        <w:t>,</w:t>
      </w:r>
      <w:r w:rsidRPr="00630CCA">
        <w:t xml:space="preserve"> kuinka moni työpaikka on saavutettavissa tietyn matka-ajan sisällä, mikä puoltaa myös hyvin vahvasti yleisen kustannuksen tai matka-ajan käyttöä. Gibbons ym. (2019) käyttävät ”ArcGIS Network Analyst optimal routing” -algoritmia laskeakseen minimimatkustusajat vaalipiirien välillä tieverkostoa pitkin. Tieverkostoaineisto on saatu DfT:ltä (</w:t>
      </w:r>
      <w:r w:rsidRPr="00C40986">
        <w:rPr>
          <w:i/>
          <w:iCs/>
        </w:rPr>
        <w:t>Department for Transport</w:t>
      </w:r>
      <w:r w:rsidRPr="00630CCA">
        <w:t xml:space="preserve">). He rajaavat vaalipiiriparit niihin, joiden välinen matka-aika on korkeintaan 75 minuuttia. </w:t>
      </w:r>
    </w:p>
    <w:p w14:paraId="41B63E5E" w14:textId="48F17F2F" w:rsidR="00C342FF" w:rsidRPr="00630CCA" w:rsidRDefault="00C342FF" w:rsidP="0007786C">
      <w:pPr>
        <w:pStyle w:val="BodyText"/>
      </w:pPr>
      <w:r w:rsidRPr="00630CCA">
        <w:t>Ylei</w:t>
      </w:r>
      <w:r w:rsidR="00F83AF2">
        <w:t>stetty</w:t>
      </w:r>
      <w:r w:rsidRPr="00630CCA">
        <w:t xml:space="preserve"> matkakustannus kuvaa kirjallisuuden pohjalta parhaiten todellista matkavastusta eri alueiden välillä, joten se on myös suositelluin käytettäväksi tehokkaan tiheyden mittaamiseen. Mikäli sitä ei ole saatavilla</w:t>
      </w:r>
      <w:r>
        <w:t>,</w:t>
      </w:r>
      <w:r w:rsidRPr="00630CCA">
        <w:t xml:space="preserve"> aikaan perustuvat mitat vaikuttavat olevan tois</w:t>
      </w:r>
      <w:r>
        <w:t>e</w:t>
      </w:r>
      <w:r w:rsidRPr="00630CCA">
        <w:t>ksi paras vaihtoehto, sillä etäisyyksistä riippuen etäisyysmitoissa saattaa esiintyä mittausvirheitä enemmän.</w:t>
      </w:r>
    </w:p>
    <w:p w14:paraId="0783711F" w14:textId="77777777" w:rsidR="00C342FF" w:rsidRPr="00630CCA" w:rsidRDefault="00C342FF" w:rsidP="00463345">
      <w:pPr>
        <w:pStyle w:val="Heading3"/>
      </w:pPr>
      <w:bookmarkStart w:id="16" w:name="_Toc76110780"/>
      <w:r w:rsidRPr="00630CCA">
        <w:t>Etäisyyden merkitys</w:t>
      </w:r>
      <w:r>
        <w:t xml:space="preserve"> funktiona</w:t>
      </w:r>
      <w:bookmarkEnd w:id="16"/>
    </w:p>
    <w:p w14:paraId="589764FD" w14:textId="417718EB" w:rsidR="00C342FF" w:rsidRPr="00630CCA" w:rsidRDefault="00C342FF" w:rsidP="00C342FF">
      <w:pPr>
        <w:pStyle w:val="BodyText"/>
        <w:rPr>
          <w:rFonts w:eastAsia="Times New Roman"/>
          <w:lang w:eastAsia="fi-FI"/>
        </w:rPr>
      </w:pPr>
      <w:r w:rsidRPr="00630CCA">
        <w:t xml:space="preserve">Kasautumisvaikutus laimenee mitä kauemmaksi mennään (distance decay), kuten </w:t>
      </w:r>
      <w:r w:rsidR="00463345">
        <w:t>luvussa</w:t>
      </w:r>
      <w:r w:rsidRPr="00630CCA">
        <w:t xml:space="preserve"> </w:t>
      </w:r>
      <w:r w:rsidR="00463345">
        <w:t>3.1.2</w:t>
      </w:r>
      <w:r w:rsidRPr="00630CCA">
        <w:t xml:space="preserve"> sivuttiin. Tämän takia edellisessä osiossa esitetty etäisyysmitta on usein funktiomuodossa ja laskeva etäisyyden suhteen. Sen valinta on pohjimmiltaan empiirinen kysymys siitä, mikä muoto vastaa todellisuutta tarkimmin. Useimmat tutkimukset ovat käyttäneet matkavastuksesta joko yksinkertaisesti </w:t>
      </w:r>
      <w:r w:rsidRPr="00630CCA">
        <w:lastRenderedPageBreak/>
        <w:t xml:space="preserve">etäisyyden käänteistä funktiota korotettuna johonkin potenssiin (usein potenssiin 1) tai eksponenttifunktiota. </w:t>
      </w:r>
      <w:r w:rsidRPr="00630CCA">
        <w:rPr>
          <w:rFonts w:eastAsia="Times New Roman"/>
          <w:lang w:eastAsia="fi-FI"/>
        </w:rPr>
        <w:t xml:space="preserve">Kun käänteisen funktion potenssi saa esimerkiksi arvon 1, tarkoittaa se, että painoarvo, jolla taloudellista suuretta painotetaan, vähenee käänteisesti etäisyyden suhteen. Tällöin työllisyydellä 10 kilometrin päässä on </w:t>
      </w:r>
      <w:r>
        <w:rPr>
          <w:rFonts w:eastAsia="Times New Roman"/>
          <w:lang w:eastAsia="fi-FI"/>
        </w:rPr>
        <w:t>yhden</w:t>
      </w:r>
      <w:r w:rsidRPr="00630CCA">
        <w:rPr>
          <w:rFonts w:eastAsia="Times New Roman"/>
          <w:lang w:eastAsia="fi-FI"/>
        </w:rPr>
        <w:t xml:space="preserve"> kymmenesosan vaikutus tehokkaaseen tiheyteen verrattuna työllisyyteen yhden kilometrin päässä. </w:t>
      </w:r>
    </w:p>
    <w:p w14:paraId="430A16A0" w14:textId="60AE648E" w:rsidR="00C342FF" w:rsidRDefault="00C342FF" w:rsidP="00C342FF">
      <w:pPr>
        <w:pStyle w:val="BodyText"/>
        <w:rPr>
          <w:rFonts w:eastAsia="Times New Roman"/>
          <w:lang w:eastAsia="fi-FI"/>
        </w:rPr>
      </w:pPr>
      <w:r w:rsidRPr="00630CCA">
        <w:rPr>
          <w:rFonts w:eastAsia="Times New Roman"/>
          <w:lang w:eastAsia="fi-FI"/>
        </w:rPr>
        <w:t xml:space="preserve">Graham ja Gibbons (2019) mukaan tämä nk. matkavastuksen kuihtumisparametri (impedance decay parameter) on pääosassa kuvaamassa tehokkaan tiheyden herkkyyttä matkavastuksen suhteen. Sen korkeampi arvo johtaa siihen, että tehokas tiheys on herkempi matkavastuksen vähenemiselle. Alueet, joilla on jo valmiiksi korkeampi painoarvo tehokkaan tiheyden määrittelyssä, ovat sitä vielä enemmän matkavastusta vähentävien liikennehankkeiden takia. Matkavastuksen pieneneminen ei vaikuta paljoa kaukaisien ja pienien paikkojen merkitykseen. Kuvaan </w:t>
      </w:r>
      <w:r w:rsidR="00654D1E" w:rsidRPr="00A17038">
        <w:rPr>
          <w:rFonts w:eastAsia="Times New Roman"/>
          <w:lang w:eastAsia="fi-FI"/>
        </w:rPr>
        <w:t>1</w:t>
      </w:r>
      <w:r w:rsidRPr="00A17038">
        <w:rPr>
          <w:rFonts w:eastAsia="Times New Roman"/>
          <w:lang w:eastAsia="fi-FI"/>
        </w:rPr>
        <w:t xml:space="preserve"> on havainnollistettu sekä käänteinen että eksponentiaalinen vähenemisfunktio</w:t>
      </w:r>
      <w:r w:rsidRPr="00630CCA">
        <w:rPr>
          <w:rFonts w:eastAsia="Times New Roman"/>
          <w:lang w:eastAsia="fi-FI"/>
        </w:rPr>
        <w:t xml:space="preserve"> osalla tässä osiossa luetelluista</w:t>
      </w:r>
      <w:r>
        <w:rPr>
          <w:rFonts w:eastAsia="Times New Roman"/>
          <w:lang w:eastAsia="fi-FI"/>
        </w:rPr>
        <w:t xml:space="preserve"> kirjallisuudessa käytetyistä</w:t>
      </w:r>
      <w:r w:rsidRPr="00630CCA">
        <w:rPr>
          <w:rFonts w:eastAsia="Times New Roman"/>
          <w:lang w:eastAsia="fi-FI"/>
        </w:rPr>
        <w:t xml:space="preserve"> kertoimista. </w:t>
      </w:r>
    </w:p>
    <w:p w14:paraId="6F649004" w14:textId="77777777" w:rsidR="00247FC5" w:rsidRPr="00326DC5" w:rsidRDefault="00247FC5" w:rsidP="00247FC5">
      <w:pPr>
        <w:pStyle w:val="Caption"/>
      </w:pPr>
      <w:r>
        <w:t xml:space="preserve">Kuva </w:t>
      </w:r>
      <w:r w:rsidR="0040610B">
        <w:fldChar w:fldCharType="begin"/>
      </w:r>
      <w:r w:rsidR="0040610B">
        <w:instrText xml:space="preserve"> SEQ Kuva \* ARABIC </w:instrText>
      </w:r>
      <w:r w:rsidR="0040610B">
        <w:fldChar w:fldCharType="separate"/>
      </w:r>
      <w:r>
        <w:rPr>
          <w:noProof/>
        </w:rPr>
        <w:t>1</w:t>
      </w:r>
      <w:r w:rsidR="0040610B">
        <w:rPr>
          <w:noProof/>
        </w:rPr>
        <w:fldChar w:fldCharType="end"/>
      </w:r>
      <w:r>
        <w:t xml:space="preserve">. </w:t>
      </w:r>
      <w:r w:rsidRPr="008924C1">
        <w:t>Matkavastuksen käänteisluvun potenssin arvoa 1 on käytetty Gibbons ym. (2019)</w:t>
      </w:r>
      <w:r>
        <w:t>:ssa</w:t>
      </w:r>
      <w:r w:rsidRPr="008924C1">
        <w:t xml:space="preserve"> ja potenssin arvo 1,8 on estimoitu tutkimuksessa Graham ym. (2010). Eksponentiaalisen vähenemisfunktion kerrointa 0,28 on käytetty tutkimuksessa Börjesson ym. (2019) ja kerrointa 0,36 tutkimuksessa</w:t>
      </w:r>
      <w:r w:rsidRPr="008924C1">
        <w:rPr>
          <w:rFonts w:eastAsia="Times New Roman"/>
          <w:lang w:eastAsia="fi-FI"/>
        </w:rPr>
        <w:t xml:space="preserve"> </w:t>
      </w:r>
      <w:r w:rsidRPr="008924C1">
        <w:t xml:space="preserve">Ahlfeldt ym. (2015).   </w:t>
      </w:r>
    </w:p>
    <w:p w14:paraId="7512D45C" w14:textId="77777777" w:rsidR="00C342FF" w:rsidRPr="008924C1" w:rsidRDefault="00C342FF" w:rsidP="00C342FF">
      <w:pPr>
        <w:pStyle w:val="BodyText"/>
      </w:pPr>
      <w:r w:rsidRPr="008924C1">
        <w:rPr>
          <w:noProof/>
          <w:lang w:eastAsia="fi-FI"/>
        </w:rPr>
        <w:drawing>
          <wp:inline distT="0" distB="0" distL="0" distR="0" wp14:anchorId="23ECC3EF" wp14:editId="7FC1617F">
            <wp:extent cx="5780749" cy="3371850"/>
            <wp:effectExtent l="0" t="0" r="0" b="0"/>
            <wp:docPr id="9" name="Picture 9" descr="Kuvassa esitetään viivagraafit neljästä vähenemisfunktiosta. Eksponenttifunktiot kertoimilla 0,28 ja  0,36 ja käänteisfunktiot potenssin arvoilla 1 j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Kuvassa esitetään viivagraafit neljästä vähenemisfunktiosta. Eksponenttifunktiot kertoimilla 0,28 ja  0,36 ja käänteisfunktiot potenssin arvoilla 1 ja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88078" cy="3376125"/>
                    </a:xfrm>
                    <a:prstGeom prst="rect">
                      <a:avLst/>
                    </a:prstGeom>
                    <a:noFill/>
                  </pic:spPr>
                </pic:pic>
              </a:graphicData>
            </a:graphic>
          </wp:inline>
        </w:drawing>
      </w:r>
    </w:p>
    <w:p w14:paraId="69B4FF75" w14:textId="77777777" w:rsidR="00C342FF" w:rsidRPr="00630CCA" w:rsidRDefault="00C342FF" w:rsidP="00C342FF">
      <w:pPr>
        <w:pStyle w:val="BodyText"/>
        <w:rPr>
          <w:rFonts w:eastAsia="Times New Roman"/>
          <w:lang w:eastAsia="fi-FI"/>
        </w:rPr>
      </w:pPr>
      <w:r w:rsidRPr="00630CCA">
        <w:rPr>
          <w:rFonts w:eastAsia="Times New Roman"/>
          <w:lang w:eastAsia="fi-FI"/>
        </w:rPr>
        <w:t xml:space="preserve">Eksponentin käyttö (niin eksponentti- </w:t>
      </w:r>
      <w:r>
        <w:rPr>
          <w:rFonts w:eastAsia="Times New Roman"/>
          <w:lang w:eastAsia="fi-FI"/>
        </w:rPr>
        <w:t>kuin</w:t>
      </w:r>
      <w:r w:rsidRPr="00630CCA">
        <w:rPr>
          <w:rFonts w:eastAsia="Times New Roman"/>
          <w:lang w:eastAsia="fi-FI"/>
        </w:rPr>
        <w:t xml:space="preserve"> käänteisfunktiossa) on vain yksi tapa kuvata maantieteellisen läheisyyden tärkeyttä ja kasautumisvaikutusten heikkenemistä etäisyyden suhteen. Sen hyvä puoli Graham ja Gibbons (2019) mukaan on se, että tarvitaan vain yksi estimoitava parametri, jota voidaan käyttää sekä jouston estimoinnissa että hankearvioinnissa. On olemassa myös muita matemaattisia muotoja ja estimointitapoja, joilla voidaan esittää vaikutuksen kuihtumista (ks. Graham ym. 2010), kuten esimerkiksi paloittaisten etäisyyskaistaleiden käyttö (</w:t>
      </w:r>
      <w:r w:rsidRPr="00C40986">
        <w:rPr>
          <w:rFonts w:eastAsia="Times New Roman"/>
          <w:i/>
          <w:iCs/>
          <w:lang w:eastAsia="fi-FI"/>
        </w:rPr>
        <w:t>piecemeal distance band method</w:t>
      </w:r>
      <w:r w:rsidRPr="00630CCA">
        <w:rPr>
          <w:rFonts w:eastAsia="Times New Roman"/>
          <w:lang w:eastAsia="fi-FI"/>
        </w:rPr>
        <w:t xml:space="preserve">). Kirjallisuudessa on kuitenkin käytetty pääasiassa joko käänteistä funktiota tai eksponenttifunktiota, joten keskitymme niihin. </w:t>
      </w:r>
    </w:p>
    <w:p w14:paraId="5FB913BA" w14:textId="77777777" w:rsidR="00C342FF" w:rsidRDefault="00C342FF" w:rsidP="00C342FF">
      <w:pPr>
        <w:pStyle w:val="BodyText"/>
      </w:pPr>
      <w:r w:rsidRPr="00630CCA">
        <w:t xml:space="preserve">Gibbons ym. (2019) käyttävät analyysissään käänteistä funktiota (potenssi 1), mutta näyttävät myös, että tulokset ovat hyvin samankaltaisia, jos käytetään potenssin arvoja 0,5 ja 1,5 tai eksponenttifunktioita (exp(-0.2*matka-aika)). Tässä </w:t>
      </w:r>
      <w:r w:rsidRPr="00630CCA">
        <w:lastRenderedPageBreak/>
        <w:t xml:space="preserve">kohtaa on tärkeää huomioida, että eksponenttifunktiossa ja potenssissa käytettyjä arvoja tai niiden tuottamia tuloksia ei voida suoraan verrata toisiinsa. </w:t>
      </w:r>
      <w:r>
        <w:t xml:space="preserve">Myös esimerkiksi Maré ja Graham (2013) käyttävät käänteistä funktiota kuvaamaan etäisyyden merkitystä. </w:t>
      </w:r>
    </w:p>
    <w:p w14:paraId="5A36B9CF" w14:textId="77777777" w:rsidR="00C342FF" w:rsidRDefault="00C342FF" w:rsidP="00C342FF">
      <w:pPr>
        <w:pStyle w:val="BodyText"/>
        <w:rPr>
          <w:rFonts w:eastAsia="Times New Roman"/>
          <w:lang w:eastAsia="fi-FI"/>
        </w:rPr>
      </w:pPr>
      <w:r w:rsidRPr="00630CCA">
        <w:t>Börjesson ym. (2019) käyttävät eksponenttifunktiota e</w:t>
      </w:r>
      <w:r w:rsidRPr="00630CCA">
        <w:rPr>
          <w:rFonts w:eastAsia="Times New Roman"/>
          <w:lang w:eastAsia="fi-FI"/>
        </w:rPr>
        <w:t xml:space="preserve">xp(-0,28*gc), missä gc on </w:t>
      </w:r>
      <w:r>
        <w:rPr>
          <w:rFonts w:eastAsia="Times New Roman"/>
          <w:lang w:eastAsia="fi-FI"/>
        </w:rPr>
        <w:t>yleinen matka-aika</w:t>
      </w:r>
      <w:r w:rsidRPr="00630CCA">
        <w:rPr>
          <w:rFonts w:eastAsia="Times New Roman"/>
          <w:lang w:eastAsia="fi-FI"/>
        </w:rPr>
        <w:t xml:space="preserve"> (</w:t>
      </w:r>
      <w:r w:rsidRPr="00C40986">
        <w:rPr>
          <w:rFonts w:eastAsia="Times New Roman"/>
          <w:i/>
          <w:iCs/>
          <w:lang w:eastAsia="fi-FI"/>
        </w:rPr>
        <w:t>generalized travel time</w:t>
      </w:r>
      <w:r w:rsidRPr="00630CCA">
        <w:rPr>
          <w:rFonts w:eastAsia="Times New Roman"/>
          <w:lang w:eastAsia="fi-FI"/>
        </w:rPr>
        <w:t xml:space="preserve">) euroissa. Eksponenttifunktiossa käytetty arvo -0.28/EUR on johdettu matkustajien havaitusta käyttäytymisestä, jolloin se kuvaa todellista käyttäytymistä parhaiten. Heidän mukaansa </w:t>
      </w:r>
      <w:r>
        <w:rPr>
          <w:rFonts w:eastAsia="Times New Roman"/>
          <w:lang w:eastAsia="fi-FI"/>
        </w:rPr>
        <w:t>käänteinen funktio</w:t>
      </w:r>
      <w:r w:rsidRPr="00630CCA">
        <w:rPr>
          <w:rFonts w:eastAsia="Times New Roman"/>
          <w:lang w:eastAsia="fi-FI"/>
        </w:rPr>
        <w:t xml:space="preserve"> on myös vaihtoehtoinen tapa ja sen hyvä puoli on se, että se ei ole riippuvainen siitä, mitä yksikköä käytetään kuvaamaan yleiskustannusta, koska saavutettavuudesta käytetään logaritmia. </w:t>
      </w:r>
    </w:p>
    <w:p w14:paraId="008321FB" w14:textId="77777777" w:rsidR="00C342FF" w:rsidRPr="00630CCA" w:rsidRDefault="00C342FF" w:rsidP="00C342FF">
      <w:pPr>
        <w:pStyle w:val="BodyText"/>
      </w:pPr>
      <w:r w:rsidRPr="00630CCA">
        <w:rPr>
          <w:rFonts w:eastAsia="Times New Roman"/>
          <w:lang w:eastAsia="fi-FI"/>
        </w:rPr>
        <w:t>Graham ym. (2010) estimoivat käänteisen funktion potenssin parametrille arvoja aineistosta ja antavat sen vaihdella toimialoittain.</w:t>
      </w:r>
      <w:r w:rsidRPr="00630CCA">
        <w:rPr>
          <w:rStyle w:val="FootnoteReference"/>
          <w:rFonts w:ascii="Times New Roman" w:eastAsia="Times New Roman" w:hAnsi="Times New Roman" w:cs="Times New Roman"/>
          <w:sz w:val="24"/>
          <w:szCs w:val="24"/>
          <w:lang w:eastAsia="fi-FI"/>
        </w:rPr>
        <w:footnoteReference w:id="6"/>
      </w:r>
      <w:r w:rsidRPr="00630CCA">
        <w:rPr>
          <w:rFonts w:eastAsia="Times New Roman"/>
          <w:lang w:eastAsia="fi-FI"/>
        </w:rPr>
        <w:t xml:space="preserve"> Tuotantoteollisuudelle löydetään pienempiä arvoja (1,1) kuin esimerkiksi palvelusektoreille (1,8), mikä puolestaan tarkoittaa, että kasautumisvaikutukset heikkenevät nopeammin palvelusektorilla etäisyyden suhteen kuin tuotantoteollisuudessa. Palvelusektorilla havaitaan kuitenkin suuremmat kasautumisvaikutukset kuin tuotantoteollisuudessa. </w:t>
      </w:r>
    </w:p>
    <w:p w14:paraId="41BB3D40" w14:textId="77777777" w:rsidR="00C342FF" w:rsidRPr="00630CCA" w:rsidRDefault="00C342FF" w:rsidP="00C342FF">
      <w:pPr>
        <w:pStyle w:val="BodyText"/>
        <w:rPr>
          <w:rFonts w:eastAsia="Times New Roman"/>
          <w:lang w:eastAsia="fi-FI"/>
        </w:rPr>
      </w:pPr>
      <w:r w:rsidRPr="00630CCA">
        <w:rPr>
          <w:rFonts w:eastAsia="Times New Roman"/>
          <w:lang w:eastAsia="fi-FI"/>
        </w:rPr>
        <w:t xml:space="preserve">Myös </w:t>
      </w:r>
      <w:bookmarkStart w:id="17" w:name="_Hlk61355547"/>
      <w:r w:rsidRPr="00630CCA">
        <w:rPr>
          <w:rFonts w:eastAsia="Times New Roman"/>
          <w:lang w:eastAsia="fi-FI"/>
        </w:rPr>
        <w:t xml:space="preserve">Ahlfeldt ym. (2015) </w:t>
      </w:r>
      <w:bookmarkEnd w:id="17"/>
      <w:r w:rsidRPr="00630CCA">
        <w:rPr>
          <w:rFonts w:eastAsia="Times New Roman"/>
          <w:lang w:eastAsia="fi-FI"/>
        </w:rPr>
        <w:t>estimoivat itse kuihtumisparametrin arvon ja antavat sen vaihdella riippuen siitä, tarkastelevatko he kasautumisen ulkoisvaikutuksia tuottavuudessa, jolloin he käyttävät alueen toimipaikkojen työllisten määrää kuvaamaan taloudellista massaa</w:t>
      </w:r>
      <w:r>
        <w:rPr>
          <w:rFonts w:eastAsia="Times New Roman"/>
          <w:lang w:eastAsia="fi-FI"/>
        </w:rPr>
        <w:t>,</w:t>
      </w:r>
      <w:r w:rsidRPr="00630CCA">
        <w:rPr>
          <w:rFonts w:eastAsia="Times New Roman"/>
          <w:lang w:eastAsia="fi-FI"/>
        </w:rPr>
        <w:t xml:space="preserve"> vai ulkoisvaikutuksia asuinoloissa, jolloin he käyttävät alueella asuvien työllisten määrää kuvaamaan asuinolosuhteita. Heidän tulosten</w:t>
      </w:r>
      <w:r>
        <w:rPr>
          <w:rFonts w:eastAsia="Times New Roman"/>
          <w:lang w:eastAsia="fi-FI"/>
        </w:rPr>
        <w:t>sa</w:t>
      </w:r>
      <w:r w:rsidRPr="00630CCA">
        <w:rPr>
          <w:rFonts w:eastAsia="Times New Roman"/>
          <w:lang w:eastAsia="fi-FI"/>
        </w:rPr>
        <w:t xml:space="preserve"> mukaan molemmat ulkoisvaikutuksista ovat hyvin paikallisia ja saavat</w:t>
      </w:r>
      <w:r>
        <w:rPr>
          <w:rFonts w:eastAsia="Times New Roman"/>
          <w:lang w:eastAsia="fi-FI"/>
        </w:rPr>
        <w:t xml:space="preserve"> eksponenttifunktiota käyttäen</w:t>
      </w:r>
      <w:r w:rsidRPr="00630CCA">
        <w:rPr>
          <w:rFonts w:eastAsia="Times New Roman"/>
          <w:lang w:eastAsia="fi-FI"/>
        </w:rPr>
        <w:t xml:space="preserve"> kuihtumisparametrien arvoiksi 0,36 tuottavuuden ja 0,91 asuinolojen ulkoisvaikutuksille. </w:t>
      </w:r>
    </w:p>
    <w:p w14:paraId="47299A64" w14:textId="77777777" w:rsidR="00C342FF" w:rsidRPr="00630CCA" w:rsidRDefault="00C342FF" w:rsidP="00C342FF">
      <w:pPr>
        <w:pStyle w:val="BodyText"/>
        <w:rPr>
          <w:rFonts w:eastAsia="Times New Roman"/>
          <w:lang w:eastAsia="fi-FI"/>
        </w:rPr>
      </w:pPr>
      <w:r w:rsidRPr="00630CCA">
        <w:rPr>
          <w:rFonts w:eastAsia="Times New Roman"/>
          <w:lang w:eastAsia="fi-FI"/>
        </w:rPr>
        <w:t xml:space="preserve">Ahlfeldt ja Feddersen (2018) estimoivat edellisten tutkimusten tapaan itse kuihtumisparametrin eksponenttifunktiolle. He saavat kuitenkin huomattavasti pienempiä arvoja (noin 0,02) tarkoittaen, että heidän tulosten mukaan ulkoisvaikutukset ulottuvat huomattavasti kauemmaksi (ja suurempina) kuin mitä edelliset tutkimukset ovat löytäneet. Ero saattaa johtua siitä, että he käyttävät läänitason aineistoa, joka on maantieteellisesti hyvin laaja ja epätarkka verrattuna muiden tutkimusten käyttämiin aineistoihin.  </w:t>
      </w:r>
    </w:p>
    <w:p w14:paraId="2214C0FA" w14:textId="71B965E0" w:rsidR="00C342FF" w:rsidRDefault="00C342FF" w:rsidP="00C342FF">
      <w:pPr>
        <w:pStyle w:val="BodyText"/>
      </w:pPr>
      <w:r w:rsidRPr="00630CCA">
        <w:t xml:space="preserve">Graham ja Gibbons (2019) suosittelevat, että eri kertoimien ja funktiomuotojen arvoja kokeillaan ja niiden vaikutuksia liikennehankkeiden arvioinneille tutkittaisiin enemmän. Mutta kuten Gibbons ym. (2019) </w:t>
      </w:r>
      <w:r>
        <w:t xml:space="preserve">tutkimuksesta </w:t>
      </w:r>
      <w:r w:rsidRPr="00630CCA">
        <w:t xml:space="preserve">käy ilmi, tulokset ovat hyvin samankaltaisia eri käänteisen funktion potenssin arvoille ja eksponenttifunktiolle. </w:t>
      </w:r>
    </w:p>
    <w:p w14:paraId="37FD8CDD" w14:textId="77777777" w:rsidR="006E177B" w:rsidRDefault="006E177B">
      <w:pPr>
        <w:rPr>
          <w:rFonts w:asciiTheme="majorHAnsi" w:eastAsiaTheme="majorEastAsia" w:hAnsiTheme="majorHAnsi" w:cstheme="majorBidi"/>
          <w:b/>
          <w:bCs/>
          <w:sz w:val="24"/>
          <w:szCs w:val="26"/>
        </w:rPr>
      </w:pPr>
      <w:r>
        <w:br w:type="page"/>
      </w:r>
    </w:p>
    <w:p w14:paraId="7086335D" w14:textId="4F7E367F" w:rsidR="00654D1E" w:rsidRPr="00630CCA" w:rsidRDefault="00654D1E" w:rsidP="00654D1E">
      <w:pPr>
        <w:pStyle w:val="Heading2"/>
      </w:pPr>
      <w:bookmarkStart w:id="18" w:name="_Toc76110781"/>
      <w:r>
        <w:lastRenderedPageBreak/>
        <w:t xml:space="preserve">Tehokkaan tiheyden mittari </w:t>
      </w:r>
      <w:r w:rsidR="004A5ECB">
        <w:t>väylähankkeen arvioinnissa</w:t>
      </w:r>
      <w:bookmarkEnd w:id="18"/>
    </w:p>
    <w:p w14:paraId="2F695EF8" w14:textId="2AF1B3CD" w:rsidR="005A6EEC" w:rsidRDefault="005A6EEC" w:rsidP="005A6EEC">
      <w:pPr>
        <w:pStyle w:val="BodyText"/>
      </w:pPr>
      <w:r w:rsidRPr="004A5ECB">
        <w:t>Iso-Britannian kansallinen liikennehallinto on ollut ensimmäinen laajempien taloudellisten vaikutusten arvioinnin ohjeistuksen tasolle vienyt viranomaistaho (DfT 2018). Ohjeistuksen mukaan kaikkien laajempien taloudellisten arvioinnin tarve tulee perustella erikseen</w:t>
      </w:r>
      <w:r w:rsidR="005D7BF5" w:rsidRPr="004A5ECB">
        <w:t>. Ohjeessa käytetään perustelusta termiä taloudellinen tarina (</w:t>
      </w:r>
      <w:r w:rsidR="004A5ECB" w:rsidRPr="00C40986">
        <w:rPr>
          <w:i/>
          <w:iCs/>
        </w:rPr>
        <w:t>e</w:t>
      </w:r>
      <w:r w:rsidR="005D7BF5" w:rsidRPr="00C40986">
        <w:rPr>
          <w:i/>
          <w:iCs/>
        </w:rPr>
        <w:t>conomic narrative</w:t>
      </w:r>
      <w:r w:rsidR="005D7BF5" w:rsidRPr="004A5ECB">
        <w:t xml:space="preserve">). Perusteluissa pitää </w:t>
      </w:r>
      <w:r w:rsidR="004A5ECB" w:rsidRPr="004A5ECB">
        <w:t xml:space="preserve">esimerkiksi </w:t>
      </w:r>
      <w:r w:rsidR="005D7BF5" w:rsidRPr="004A5ECB">
        <w:t>kuvata, mi</w:t>
      </w:r>
      <w:r w:rsidR="00BC651C" w:rsidRPr="004A5ECB">
        <w:t>llä tavalla ja miksi</w:t>
      </w:r>
      <w:r w:rsidR="005D7BF5" w:rsidRPr="004A5ECB">
        <w:t xml:space="preserve"> arvioinnin kohteena olevan hankkeen oletetaan </w:t>
      </w:r>
      <w:r w:rsidR="00BC651C" w:rsidRPr="004A5ECB">
        <w:t xml:space="preserve">lisäävän tuottavuutta, missä määrin vaikutus on koko taloudessa nettomääräinen lisäys ja missä määrin siirtymää (syrjäytys) muilta alueilta. </w:t>
      </w:r>
      <w:r w:rsidR="004A5ECB" w:rsidRPr="004A5ECB">
        <w:t>Perusteluissa on myös otettava kantaa siihen, missä määrin vaikutus on jo mukana käyttäjähyödyissä (eli hankkeen hyöty-kustannuslaskelmassa). Mikäli kasautumishyötyjen arviointi todetaan aiheelliseksi, antaa ohje kattavan menetelmäkuvauksen ja tarvittavat lähtöarvot laskelman tekemiseen.</w:t>
      </w:r>
    </w:p>
    <w:p w14:paraId="3FF329A1" w14:textId="21CD22B7" w:rsidR="0001774B" w:rsidRPr="003806D8" w:rsidRDefault="0001774B" w:rsidP="003806D8">
      <w:pPr>
        <w:pStyle w:val="BodyText"/>
        <w:rPr>
          <w:lang w:eastAsia="fi-FI"/>
        </w:rPr>
      </w:pPr>
      <w:r w:rsidRPr="00B443DA">
        <w:rPr>
          <w:lang w:eastAsia="fi-FI"/>
        </w:rPr>
        <w:t xml:space="preserve">Kasautumishyöty määritetään ohjeen </w:t>
      </w:r>
      <w:r w:rsidR="004A5ECB">
        <w:rPr>
          <w:lang w:eastAsia="fi-FI"/>
        </w:rPr>
        <w:t xml:space="preserve">(DfT 2020) </w:t>
      </w:r>
      <w:r w:rsidRPr="00B443DA">
        <w:rPr>
          <w:lang w:eastAsia="fi-FI"/>
        </w:rPr>
        <w:t>mukaan tehokkaan tiheyden (</w:t>
      </w:r>
      <w:r w:rsidRPr="004A5ECB">
        <w:rPr>
          <w:i/>
          <w:iCs/>
          <w:lang w:eastAsia="fi-FI"/>
        </w:rPr>
        <w:t>effective density</w:t>
      </w:r>
      <w:r w:rsidRPr="00B443DA">
        <w:rPr>
          <w:lang w:eastAsia="fi-FI"/>
        </w:rPr>
        <w:t xml:space="preserve">) kautta. Tehokas tiheys on osa-alueiden välisen etäisyyden, osa-alueen työllisyyden sekä työ- ja työasiamatkojen matkakustannusten funktio: </w:t>
      </w:r>
    </w:p>
    <w:p w14:paraId="6E90CC25" w14:textId="77777777" w:rsidR="0001774B" w:rsidRPr="00B443DA" w:rsidRDefault="0040610B" w:rsidP="0001774B">
      <w:pPr>
        <w:pStyle w:val="ListParagraph"/>
        <w:numPr>
          <w:ilvl w:val="0"/>
          <w:numId w:val="11"/>
        </w:numPr>
        <w:autoSpaceDE w:val="0"/>
        <w:autoSpaceDN w:val="0"/>
        <w:adjustRightInd w:val="0"/>
        <w:spacing w:line="260" w:lineRule="atLeast"/>
        <w:ind w:left="2268" w:hanging="907"/>
        <w:contextualSpacing w:val="0"/>
        <w:jc w:val="left"/>
        <w:textAlignment w:val="center"/>
        <w:rPr>
          <w:rFonts w:ascii="Felbridge Pro" w:hAnsi="Felbridge Pro" w:cs="Arial"/>
        </w:rPr>
      </w:pPr>
      <m:oMath>
        <m:sSubSup>
          <m:sSubSupPr>
            <m:ctrlPr>
              <w:rPr>
                <w:rFonts w:ascii="Cambria Math" w:hAnsi="Cambria Math" w:cs="Arial"/>
                <w:i/>
                <w:sz w:val="20"/>
                <w:szCs w:val="28"/>
              </w:rPr>
            </m:ctrlPr>
          </m:sSubSupPr>
          <m:e>
            <m:r>
              <w:rPr>
                <w:rFonts w:ascii="Cambria Math" w:hAnsi="Cambria Math" w:cs="Arial"/>
                <w:sz w:val="20"/>
                <w:szCs w:val="28"/>
              </w:rPr>
              <m:t>d</m:t>
            </m:r>
          </m:e>
          <m:sub>
            <m:r>
              <w:rPr>
                <w:rFonts w:ascii="Cambria Math" w:hAnsi="Cambria Math" w:cs="Arial"/>
                <w:sz w:val="20"/>
                <w:szCs w:val="28"/>
              </w:rPr>
              <m:t>i</m:t>
            </m:r>
          </m:sub>
          <m:sup>
            <m:r>
              <w:rPr>
                <w:rFonts w:ascii="Cambria Math" w:hAnsi="Cambria Math" w:cs="Arial"/>
                <w:sz w:val="20"/>
                <w:szCs w:val="28"/>
              </w:rPr>
              <m:t>S, k, f</m:t>
            </m:r>
          </m:sup>
        </m:sSubSup>
        <m:r>
          <w:rPr>
            <w:rFonts w:ascii="Cambria Math" w:hAnsi="Cambria Math" w:cs="Arial"/>
            <w:sz w:val="20"/>
            <w:szCs w:val="28"/>
          </w:rPr>
          <m:t xml:space="preserve">= </m:t>
        </m:r>
        <m:nary>
          <m:naryPr>
            <m:chr m:val="∑"/>
            <m:limLoc m:val="undOvr"/>
            <m:supHide m:val="1"/>
            <m:ctrlPr>
              <w:rPr>
                <w:rFonts w:ascii="Cambria Math" w:hAnsi="Cambria Math" w:cs="Arial"/>
                <w:i/>
                <w:sz w:val="20"/>
                <w:szCs w:val="28"/>
              </w:rPr>
            </m:ctrlPr>
          </m:naryPr>
          <m:sub>
            <m:r>
              <w:rPr>
                <w:rFonts w:ascii="Cambria Math" w:hAnsi="Cambria Math" w:cs="Arial"/>
                <w:sz w:val="20"/>
                <w:szCs w:val="28"/>
              </w:rPr>
              <m:t>j, m</m:t>
            </m:r>
          </m:sub>
          <m:sup/>
          <m:e>
            <m:f>
              <m:fPr>
                <m:ctrlPr>
                  <w:rPr>
                    <w:rFonts w:ascii="Cambria Math" w:hAnsi="Cambria Math" w:cs="Arial"/>
                    <w:i/>
                    <w:sz w:val="20"/>
                    <w:szCs w:val="28"/>
                  </w:rPr>
                </m:ctrlPr>
              </m:fPr>
              <m:num>
                <m:sSubSup>
                  <m:sSubSupPr>
                    <m:ctrlPr>
                      <w:rPr>
                        <w:rFonts w:ascii="Cambria Math" w:hAnsi="Cambria Math" w:cs="Arial"/>
                        <w:i/>
                        <w:sz w:val="20"/>
                        <w:szCs w:val="28"/>
                      </w:rPr>
                    </m:ctrlPr>
                  </m:sSubSupPr>
                  <m:e>
                    <m:r>
                      <w:rPr>
                        <w:rFonts w:ascii="Cambria Math" w:hAnsi="Cambria Math" w:cs="Arial"/>
                        <w:sz w:val="20"/>
                        <w:szCs w:val="28"/>
                      </w:rPr>
                      <m:t>E</m:t>
                    </m:r>
                  </m:e>
                  <m:sub>
                    <m:r>
                      <w:rPr>
                        <w:rFonts w:ascii="Cambria Math" w:hAnsi="Cambria Math" w:cs="Arial"/>
                        <w:sz w:val="20"/>
                        <w:szCs w:val="28"/>
                      </w:rPr>
                      <m:t>j</m:t>
                    </m:r>
                  </m:sub>
                  <m:sup>
                    <m:r>
                      <w:rPr>
                        <w:rFonts w:ascii="Cambria Math" w:hAnsi="Cambria Math" w:cs="Arial"/>
                        <w:sz w:val="20"/>
                        <w:szCs w:val="28"/>
                      </w:rPr>
                      <m:t>S, f</m:t>
                    </m:r>
                  </m:sup>
                </m:sSubSup>
              </m:num>
              <m:den>
                <m:sSup>
                  <m:sSupPr>
                    <m:ctrlPr>
                      <w:rPr>
                        <w:rFonts w:ascii="Cambria Math" w:hAnsi="Cambria Math" w:cs="Arial"/>
                        <w:i/>
                        <w:sz w:val="20"/>
                        <w:szCs w:val="28"/>
                      </w:rPr>
                    </m:ctrlPr>
                  </m:sSupPr>
                  <m:e>
                    <m:d>
                      <m:dPr>
                        <m:ctrlPr>
                          <w:rPr>
                            <w:rFonts w:ascii="Cambria Math" w:hAnsi="Cambria Math" w:cs="Arial"/>
                            <w:i/>
                            <w:sz w:val="20"/>
                            <w:szCs w:val="28"/>
                          </w:rPr>
                        </m:ctrlPr>
                      </m:dPr>
                      <m:e>
                        <m:sSubSup>
                          <m:sSubSupPr>
                            <m:ctrlPr>
                              <w:rPr>
                                <w:rFonts w:ascii="Cambria Math" w:hAnsi="Cambria Math" w:cs="Arial"/>
                                <w:i/>
                                <w:sz w:val="20"/>
                                <w:szCs w:val="28"/>
                              </w:rPr>
                            </m:ctrlPr>
                          </m:sSubSupPr>
                          <m:e>
                            <m:r>
                              <w:rPr>
                                <w:rFonts w:ascii="Cambria Math" w:hAnsi="Cambria Math" w:cs="Arial"/>
                                <w:sz w:val="20"/>
                                <w:szCs w:val="28"/>
                              </w:rPr>
                              <m:t>g</m:t>
                            </m:r>
                          </m:e>
                          <m:sub>
                            <m:r>
                              <w:rPr>
                                <w:rFonts w:ascii="Cambria Math" w:hAnsi="Cambria Math" w:cs="Arial"/>
                                <w:sz w:val="20"/>
                                <w:szCs w:val="28"/>
                              </w:rPr>
                              <m:t>i, j</m:t>
                            </m:r>
                          </m:sub>
                          <m:sup>
                            <m:r>
                              <w:rPr>
                                <w:rFonts w:ascii="Cambria Math" w:hAnsi="Cambria Math" w:cs="Arial"/>
                                <w:sz w:val="20"/>
                                <w:szCs w:val="28"/>
                              </w:rPr>
                              <m:t>S, m, f</m:t>
                            </m:r>
                          </m:sup>
                        </m:sSubSup>
                      </m:e>
                    </m:d>
                  </m:e>
                  <m:sup>
                    <m:sSup>
                      <m:sSupPr>
                        <m:ctrlPr>
                          <w:rPr>
                            <w:rFonts w:ascii="Cambria Math" w:hAnsi="Cambria Math" w:cs="Arial"/>
                            <w:i/>
                            <w:sz w:val="20"/>
                            <w:szCs w:val="28"/>
                          </w:rPr>
                        </m:ctrlPr>
                      </m:sSupPr>
                      <m:e>
                        <m:r>
                          <w:rPr>
                            <w:rFonts w:ascii="Cambria Math" w:hAnsi="Cambria Math" w:cs="Arial"/>
                            <w:sz w:val="20"/>
                            <w:szCs w:val="28"/>
                          </w:rPr>
                          <m:t>∝</m:t>
                        </m:r>
                      </m:e>
                      <m:sup>
                        <m:r>
                          <w:rPr>
                            <w:rFonts w:ascii="Cambria Math" w:hAnsi="Cambria Math" w:cs="Arial"/>
                            <w:sz w:val="20"/>
                            <w:szCs w:val="28"/>
                          </w:rPr>
                          <m:t>k</m:t>
                        </m:r>
                      </m:sup>
                    </m:sSup>
                  </m:sup>
                </m:sSup>
              </m:den>
            </m:f>
          </m:e>
        </m:nary>
      </m:oMath>
      <w:r w:rsidR="0001774B" w:rsidRPr="00B443DA">
        <w:rPr>
          <w:rFonts w:ascii="Felbridge Pro" w:hAnsi="Felbridge Pro" w:cs="Arial"/>
        </w:rPr>
        <w:t xml:space="preserve"> </w:t>
      </w:r>
    </w:p>
    <w:p w14:paraId="43F48C4C" w14:textId="77777777" w:rsidR="0001774B" w:rsidRPr="00B443DA" w:rsidRDefault="0001774B" w:rsidP="0001774B">
      <w:pPr>
        <w:autoSpaceDE w:val="0"/>
        <w:autoSpaceDN w:val="0"/>
        <w:adjustRightInd w:val="0"/>
        <w:spacing w:line="260" w:lineRule="atLeast"/>
        <w:textAlignment w:val="center"/>
        <w:rPr>
          <w:rFonts w:cs="Arial"/>
          <w:lang w:eastAsia="fi-FI"/>
        </w:rPr>
      </w:pPr>
    </w:p>
    <w:p w14:paraId="636CC412" w14:textId="55B97ED3" w:rsidR="0001774B" w:rsidRPr="003806D8" w:rsidRDefault="0001774B" w:rsidP="003806D8">
      <w:pPr>
        <w:pStyle w:val="BodyText"/>
        <w:rPr>
          <w:lang w:eastAsia="fi-FI"/>
        </w:rPr>
      </w:pPr>
      <w:r w:rsidRPr="00B443DA">
        <w:rPr>
          <w:lang w:eastAsia="fi-FI"/>
        </w:rPr>
        <w:t>Missä</w:t>
      </w:r>
    </w:p>
    <w:p w14:paraId="5EAAE398" w14:textId="77777777" w:rsidR="0001774B" w:rsidRPr="00B443DA" w:rsidRDefault="0040610B" w:rsidP="0001774B">
      <w:pPr>
        <w:pStyle w:val="BodyText"/>
        <w:ind w:left="1985" w:hanging="709"/>
        <w:rPr>
          <w:lang w:eastAsia="fi-FI"/>
        </w:rPr>
      </w:pPr>
      <m:oMath>
        <m:sSubSup>
          <m:sSubSupPr>
            <m:ctrlPr>
              <w:rPr>
                <w:rFonts w:ascii="Cambria Math" w:hAnsi="Cambria Math" w:cs="Arial"/>
                <w:i/>
              </w:rPr>
            </m:ctrlPr>
          </m:sSubSupPr>
          <m:e>
            <m:r>
              <w:rPr>
                <w:rFonts w:ascii="Cambria Math" w:hAnsi="Cambria Math" w:cs="Arial"/>
              </w:rPr>
              <m:t>d</m:t>
            </m:r>
          </m:e>
          <m:sub>
            <m:r>
              <w:rPr>
                <w:rFonts w:ascii="Cambria Math" w:hAnsi="Cambria Math" w:cs="Arial"/>
              </w:rPr>
              <m:t>i</m:t>
            </m:r>
          </m:sub>
          <m:sup>
            <m:r>
              <w:rPr>
                <w:rFonts w:ascii="Cambria Math" w:hAnsi="Cambria Math" w:cs="Arial"/>
              </w:rPr>
              <m:t>S, k, f</m:t>
            </m:r>
          </m:sup>
        </m:sSubSup>
      </m:oMath>
      <w:r w:rsidR="0001774B" w:rsidRPr="00B443DA">
        <w:rPr>
          <w:sz w:val="22"/>
          <w:lang w:eastAsia="fi-FI"/>
        </w:rPr>
        <w:t xml:space="preserve">  </w:t>
      </w:r>
      <w:r w:rsidR="0001774B" w:rsidRPr="00B443DA">
        <w:rPr>
          <w:sz w:val="22"/>
          <w:lang w:eastAsia="fi-FI"/>
        </w:rPr>
        <w:tab/>
      </w:r>
      <w:r w:rsidR="0001774B" w:rsidRPr="00B443DA">
        <w:rPr>
          <w:lang w:eastAsia="fi-FI"/>
        </w:rPr>
        <w:t>Alueen</w:t>
      </w:r>
      <w:r w:rsidR="0001774B" w:rsidRPr="00B443DA">
        <w:rPr>
          <w:sz w:val="22"/>
          <w:lang w:eastAsia="fi-FI"/>
        </w:rPr>
        <w:t xml:space="preserve"> </w:t>
      </w:r>
      <w:r w:rsidR="0001774B" w:rsidRPr="00B443DA">
        <w:rPr>
          <w:rFonts w:ascii="Cambria Math" w:hAnsi="Cambria Math"/>
          <w:i/>
          <w:lang w:eastAsia="fi-FI"/>
        </w:rPr>
        <w:t xml:space="preserve">i </w:t>
      </w:r>
      <w:r w:rsidR="0001774B" w:rsidRPr="00B443DA">
        <w:rPr>
          <w:lang w:eastAsia="fi-FI"/>
        </w:rPr>
        <w:t xml:space="preserve">tehokas tiheys toimialalla </w:t>
      </w:r>
      <w:r w:rsidR="0001774B" w:rsidRPr="00B443DA">
        <w:rPr>
          <w:rFonts w:ascii="Cambria Math" w:hAnsi="Cambria Math"/>
          <w:i/>
          <w:lang w:eastAsia="fi-FI"/>
        </w:rPr>
        <w:t>k</w:t>
      </w:r>
      <w:r w:rsidR="0001774B" w:rsidRPr="00B443DA">
        <w:rPr>
          <w:lang w:eastAsia="fi-FI"/>
        </w:rPr>
        <w:t xml:space="preserve">, skenaariossa </w:t>
      </w:r>
      <w:r w:rsidR="0001774B" w:rsidRPr="00B443DA">
        <w:rPr>
          <w:rFonts w:ascii="Cambria Math" w:hAnsi="Cambria Math"/>
          <w:i/>
          <w:lang w:eastAsia="fi-FI"/>
        </w:rPr>
        <w:t>S</w:t>
      </w:r>
      <w:r w:rsidR="0001774B" w:rsidRPr="00B443DA">
        <w:rPr>
          <w:lang w:eastAsia="fi-FI"/>
        </w:rPr>
        <w:t xml:space="preserve">, ennustevuonna </w:t>
      </w:r>
      <w:r w:rsidR="0001774B" w:rsidRPr="00B443DA">
        <w:rPr>
          <w:rFonts w:ascii="Cambria Math" w:hAnsi="Cambria Math"/>
          <w:i/>
          <w:lang w:eastAsia="fi-FI"/>
        </w:rPr>
        <w:t xml:space="preserve">f  </w:t>
      </w:r>
    </w:p>
    <w:p w14:paraId="5CEA1E20" w14:textId="192C36E9" w:rsidR="0001774B" w:rsidRPr="00B443DA" w:rsidRDefault="0040610B" w:rsidP="0001774B">
      <w:pPr>
        <w:pStyle w:val="BodyText"/>
        <w:ind w:left="1985" w:hanging="709"/>
        <w:rPr>
          <w:lang w:eastAsia="fi-FI"/>
        </w:rPr>
      </w:pPr>
      <m:oMath>
        <m:sSubSup>
          <m:sSubSupPr>
            <m:ctrlPr>
              <w:rPr>
                <w:rFonts w:ascii="Cambria Math" w:hAnsi="Cambria Math"/>
                <w:sz w:val="22"/>
                <w:lang w:eastAsia="fi-FI"/>
              </w:rPr>
            </m:ctrlPr>
          </m:sSubSupPr>
          <m:e>
            <m:r>
              <w:rPr>
                <w:rFonts w:ascii="Cambria Math" w:hAnsi="Cambria Math"/>
              </w:rPr>
              <m:t>E</m:t>
            </m:r>
          </m:e>
          <m:sub>
            <m:r>
              <w:rPr>
                <w:rFonts w:ascii="Cambria Math" w:hAnsi="Cambria Math"/>
              </w:rPr>
              <m:t>j</m:t>
            </m:r>
          </m:sub>
          <m:sup>
            <m:r>
              <w:rPr>
                <w:rFonts w:ascii="Cambria Math" w:hAnsi="Cambria Math"/>
              </w:rPr>
              <m:t>S</m:t>
            </m:r>
            <m:r>
              <m:rPr>
                <m:sty m:val="p"/>
              </m:rPr>
              <w:rPr>
                <w:rFonts w:ascii="Cambria Math" w:hAnsi="Cambria Math"/>
              </w:rPr>
              <m:t xml:space="preserve">, </m:t>
            </m:r>
            <m:r>
              <w:rPr>
                <w:rFonts w:ascii="Cambria Math" w:hAnsi="Cambria Math"/>
              </w:rPr>
              <m:t>f</m:t>
            </m:r>
          </m:sup>
        </m:sSubSup>
      </m:oMath>
      <w:r w:rsidR="0001774B" w:rsidRPr="00B443DA">
        <w:rPr>
          <w:sz w:val="22"/>
          <w:lang w:eastAsia="fi-FI"/>
        </w:rPr>
        <w:t xml:space="preserve">  </w:t>
      </w:r>
      <w:r w:rsidR="0001774B" w:rsidRPr="00B443DA">
        <w:rPr>
          <w:sz w:val="22"/>
          <w:lang w:eastAsia="fi-FI"/>
        </w:rPr>
        <w:tab/>
      </w:r>
      <w:r w:rsidR="0001774B" w:rsidRPr="003806D8">
        <w:rPr>
          <w:lang w:eastAsia="fi-FI"/>
        </w:rPr>
        <w:t>K</w:t>
      </w:r>
      <w:r w:rsidR="00A65C75" w:rsidRPr="003806D8">
        <w:rPr>
          <w:lang w:eastAsia="fi-FI"/>
        </w:rPr>
        <w:t>unkin</w:t>
      </w:r>
      <w:r w:rsidR="0001774B" w:rsidRPr="003806D8">
        <w:rPr>
          <w:lang w:eastAsia="fi-FI"/>
        </w:rPr>
        <w:t xml:space="preserve"> toimial</w:t>
      </w:r>
      <w:r w:rsidR="00A65C75" w:rsidRPr="003806D8">
        <w:rPr>
          <w:lang w:eastAsia="fi-FI"/>
        </w:rPr>
        <w:t>a</w:t>
      </w:r>
      <w:r w:rsidR="0001774B" w:rsidRPr="003806D8">
        <w:rPr>
          <w:lang w:eastAsia="fi-FI"/>
        </w:rPr>
        <w:t xml:space="preserve">n yhteenlaskettu työpaikkojen määrä alueella </w:t>
      </w:r>
      <w:r w:rsidR="0001774B" w:rsidRPr="003806D8">
        <w:rPr>
          <w:rFonts w:ascii="Cambria Math" w:hAnsi="Cambria Math"/>
          <w:i/>
          <w:lang w:eastAsia="fi-FI"/>
        </w:rPr>
        <w:t xml:space="preserve">j </w:t>
      </w:r>
      <w:r w:rsidR="0001774B" w:rsidRPr="003806D8">
        <w:rPr>
          <w:lang w:eastAsia="fi-FI"/>
        </w:rPr>
        <w:t xml:space="preserve">skenaariossa </w:t>
      </w:r>
      <w:r w:rsidR="0001774B" w:rsidRPr="003806D8">
        <w:rPr>
          <w:rFonts w:ascii="Cambria Math" w:hAnsi="Cambria Math"/>
          <w:i/>
          <w:lang w:eastAsia="fi-FI"/>
        </w:rPr>
        <w:t>S</w:t>
      </w:r>
      <w:r w:rsidR="0001774B" w:rsidRPr="003806D8">
        <w:rPr>
          <w:lang w:eastAsia="fi-FI"/>
        </w:rPr>
        <w:t xml:space="preserve">, ennustevuonna </w:t>
      </w:r>
      <w:r w:rsidR="0001774B" w:rsidRPr="003806D8">
        <w:rPr>
          <w:rFonts w:ascii="Cambria Math" w:hAnsi="Cambria Math"/>
          <w:i/>
          <w:lang w:eastAsia="fi-FI"/>
        </w:rPr>
        <w:t xml:space="preserve">f </w:t>
      </w:r>
      <w:r w:rsidR="0001774B" w:rsidRPr="003806D8">
        <w:t>(hankearvioinnissa maankäytön kokonaismäärä on sama hanke- ja</w:t>
      </w:r>
      <w:r w:rsidR="0001774B" w:rsidRPr="00B443DA">
        <w:t xml:space="preserve"> vertailuvaihtoehdoissa)</w:t>
      </w:r>
    </w:p>
    <w:p w14:paraId="1C929EA6" w14:textId="77777777" w:rsidR="0001774B" w:rsidRPr="00B443DA" w:rsidRDefault="0040610B" w:rsidP="0001774B">
      <w:pPr>
        <w:pStyle w:val="BodyText"/>
        <w:ind w:left="1985" w:hanging="567"/>
        <w:rPr>
          <w:sz w:val="22"/>
          <w:lang w:eastAsia="fi-FI"/>
        </w:rPr>
      </w:pPr>
      <m:oMath>
        <m:sSubSup>
          <m:sSubSupPr>
            <m:ctrlPr>
              <w:rPr>
                <w:rFonts w:ascii="Cambria Math" w:hAnsi="Cambria Math"/>
                <w:sz w:val="22"/>
                <w:lang w:eastAsia="fi-FI"/>
              </w:rPr>
            </m:ctrlPr>
          </m:sSubSupPr>
          <m:e>
            <m:r>
              <w:rPr>
                <w:rFonts w:ascii="Cambria Math" w:hAnsi="Cambria Math"/>
              </w:rPr>
              <m:t>g</m:t>
            </m:r>
          </m:e>
          <m:sub>
            <m:r>
              <w:rPr>
                <w:rFonts w:ascii="Cambria Math" w:hAnsi="Cambria Math"/>
              </w:rPr>
              <m:t>i</m:t>
            </m:r>
            <m:r>
              <m:rPr>
                <m:sty m:val="p"/>
              </m:rPr>
              <w:rPr>
                <w:rFonts w:ascii="Cambria Math" w:hAnsi="Cambria Math"/>
              </w:rPr>
              <m:t xml:space="preserve">, </m:t>
            </m:r>
            <m:r>
              <w:rPr>
                <w:rFonts w:ascii="Cambria Math" w:hAnsi="Cambria Math"/>
              </w:rPr>
              <m:t>j</m:t>
            </m:r>
          </m:sub>
          <m:sup>
            <m:r>
              <w:rPr>
                <w:rFonts w:ascii="Cambria Math" w:hAnsi="Cambria Math"/>
              </w:rPr>
              <m:t>S</m:t>
            </m:r>
            <m:r>
              <m:rPr>
                <m:sty m:val="p"/>
              </m:rPr>
              <w:rPr>
                <w:rFonts w:ascii="Cambria Math" w:hAnsi="Cambria Math"/>
              </w:rPr>
              <m:t xml:space="preserve">, </m:t>
            </m:r>
            <m:r>
              <w:rPr>
                <w:rFonts w:ascii="Cambria Math" w:hAnsi="Cambria Math"/>
              </w:rPr>
              <m:t>m</m:t>
            </m:r>
            <m:r>
              <m:rPr>
                <m:sty m:val="p"/>
              </m:rPr>
              <w:rPr>
                <w:rFonts w:ascii="Cambria Math" w:hAnsi="Cambria Math"/>
              </w:rPr>
              <m:t xml:space="preserve">, </m:t>
            </m:r>
            <m:r>
              <w:rPr>
                <w:rFonts w:ascii="Cambria Math" w:hAnsi="Cambria Math"/>
              </w:rPr>
              <m:t>f</m:t>
            </m:r>
          </m:sup>
        </m:sSubSup>
      </m:oMath>
      <w:r w:rsidR="0001774B" w:rsidRPr="00B443DA">
        <w:rPr>
          <w:sz w:val="22"/>
          <w:lang w:eastAsia="fi-FI"/>
        </w:rPr>
        <w:tab/>
      </w:r>
      <w:r w:rsidR="0001774B" w:rsidRPr="00B443DA">
        <w:rPr>
          <w:lang w:eastAsia="fi-FI"/>
        </w:rPr>
        <w:t xml:space="preserve">Yleistetty matkavastus osa-alueiden </w:t>
      </w:r>
      <w:r w:rsidR="0001774B" w:rsidRPr="00B443DA">
        <w:rPr>
          <w:rFonts w:ascii="Cambria Math" w:hAnsi="Cambria Math"/>
          <w:i/>
          <w:lang w:eastAsia="fi-FI"/>
        </w:rPr>
        <w:t>i</w:t>
      </w:r>
      <w:r w:rsidR="0001774B" w:rsidRPr="00B443DA">
        <w:rPr>
          <w:lang w:eastAsia="fi-FI"/>
        </w:rPr>
        <w:t xml:space="preserve"> ja </w:t>
      </w:r>
      <w:r w:rsidR="0001774B" w:rsidRPr="00B443DA">
        <w:rPr>
          <w:rFonts w:ascii="Cambria Math" w:hAnsi="Cambria Math"/>
          <w:i/>
          <w:lang w:eastAsia="fi-FI"/>
        </w:rPr>
        <w:t>j</w:t>
      </w:r>
      <w:r w:rsidR="0001774B" w:rsidRPr="00B443DA">
        <w:rPr>
          <w:lang w:eastAsia="fi-FI"/>
        </w:rPr>
        <w:t xml:space="preserve"> välisillä matkoilla skenaariossa </w:t>
      </w:r>
      <w:r w:rsidR="0001774B" w:rsidRPr="00B443DA">
        <w:rPr>
          <w:rFonts w:ascii="Cambria Math" w:hAnsi="Cambria Math"/>
          <w:i/>
          <w:lang w:eastAsia="fi-FI"/>
        </w:rPr>
        <w:t>S</w:t>
      </w:r>
      <w:r w:rsidR="0001774B" w:rsidRPr="00B443DA">
        <w:rPr>
          <w:lang w:eastAsia="fi-FI"/>
        </w:rPr>
        <w:t xml:space="preserve">, kulkumuodolla </w:t>
      </w:r>
      <w:r w:rsidR="0001774B" w:rsidRPr="00B443DA">
        <w:rPr>
          <w:rFonts w:ascii="Cambria Math" w:hAnsi="Cambria Math"/>
          <w:i/>
          <w:lang w:eastAsia="fi-FI"/>
        </w:rPr>
        <w:t>m</w:t>
      </w:r>
      <w:r w:rsidR="0001774B" w:rsidRPr="00B443DA">
        <w:rPr>
          <w:lang w:eastAsia="fi-FI"/>
        </w:rPr>
        <w:t xml:space="preserve"> ennustevuonna </w:t>
      </w:r>
      <w:r w:rsidR="0001774B" w:rsidRPr="00B443DA">
        <w:rPr>
          <w:rFonts w:ascii="Cambria Math" w:hAnsi="Cambria Math"/>
          <w:i/>
          <w:lang w:eastAsia="fi-FI"/>
        </w:rPr>
        <w:t xml:space="preserve">f </w:t>
      </w:r>
      <w:r w:rsidR="0001774B" w:rsidRPr="00B443DA">
        <w:t>(määritetään painotettuna keskiarvona yli matkantarkoituksen ja kulkumuodon)</w:t>
      </w:r>
    </w:p>
    <w:p w14:paraId="3FDD04CC" w14:textId="77777777" w:rsidR="0001774B" w:rsidRPr="00B443DA" w:rsidRDefault="0001774B" w:rsidP="0001774B">
      <w:pPr>
        <w:pStyle w:val="BodyText"/>
        <w:ind w:left="1985" w:hanging="567"/>
        <w:rPr>
          <w:lang w:eastAsia="fi-FI"/>
        </w:rPr>
      </w:pPr>
      <w:r w:rsidRPr="00B443DA">
        <w:rPr>
          <w:rFonts w:ascii="Cambria Math" w:hAnsi="Cambria Math"/>
          <w:i/>
          <w:lang w:eastAsia="fi-FI"/>
        </w:rPr>
        <w:t>m</w:t>
      </w:r>
      <w:r w:rsidRPr="00B443DA">
        <w:rPr>
          <w:lang w:eastAsia="fi-FI"/>
        </w:rPr>
        <w:tab/>
        <w:t>Kulkumuoto (henkilöauto, juna, metro, raitiovaunu, bussi)</w:t>
      </w:r>
    </w:p>
    <w:p w14:paraId="1D0DCC52" w14:textId="77777777" w:rsidR="0001774B" w:rsidRPr="00B443DA" w:rsidRDefault="0040610B" w:rsidP="0001774B">
      <w:pPr>
        <w:pStyle w:val="BodyText"/>
        <w:ind w:left="1985" w:hanging="567"/>
        <w:rPr>
          <w:lang w:eastAsia="fi-FI"/>
        </w:rPr>
      </w:pPr>
      <m:oMath>
        <m:sSup>
          <m:sSupPr>
            <m:ctrlPr>
              <w:rPr>
                <w:rFonts w:ascii="Cambria Math" w:hAnsi="Cambria Math" w:cs="Arial"/>
                <w:i/>
              </w:rPr>
            </m:ctrlPr>
          </m:sSupPr>
          <m:e>
            <m:r>
              <w:rPr>
                <w:rFonts w:ascii="Cambria Math" w:hAnsi="Cambria Math" w:cs="Arial"/>
              </w:rPr>
              <m:t>∝</m:t>
            </m:r>
          </m:e>
          <m:sup>
            <m:r>
              <w:rPr>
                <w:rFonts w:ascii="Cambria Math" w:hAnsi="Cambria Math" w:cs="Arial"/>
              </w:rPr>
              <m:t>k</m:t>
            </m:r>
          </m:sup>
        </m:sSup>
      </m:oMath>
      <w:r w:rsidR="0001774B" w:rsidRPr="00B443DA">
        <w:rPr>
          <w:sz w:val="22"/>
          <w:lang w:eastAsia="fi-FI"/>
        </w:rPr>
        <w:tab/>
      </w:r>
      <w:r w:rsidR="0001774B" w:rsidRPr="00B443DA">
        <w:rPr>
          <w:lang w:eastAsia="fi-FI"/>
        </w:rPr>
        <w:t xml:space="preserve">Kerroin, joka määrittää kuinka loivasti tai jyrkästi matkavastuksen muutos vaikuttaa toimialalla </w:t>
      </w:r>
      <w:r w:rsidR="0001774B" w:rsidRPr="00B443DA">
        <w:rPr>
          <w:rFonts w:ascii="Cambria Math" w:hAnsi="Cambria Math"/>
          <w:i/>
          <w:lang w:eastAsia="fi-FI"/>
        </w:rPr>
        <w:t>k</w:t>
      </w:r>
      <w:r w:rsidR="0001774B" w:rsidRPr="00B443DA">
        <w:rPr>
          <w:lang w:eastAsia="fi-FI"/>
        </w:rPr>
        <w:t>.</w:t>
      </w:r>
    </w:p>
    <w:p w14:paraId="356420D5" w14:textId="77777777" w:rsidR="0001774B" w:rsidRPr="00B443DA" w:rsidRDefault="0001774B" w:rsidP="0001774B">
      <w:pPr>
        <w:pStyle w:val="BodyText"/>
        <w:ind w:left="1985" w:hanging="567"/>
        <w:rPr>
          <w:sz w:val="22"/>
          <w:lang w:eastAsia="fi-FI"/>
        </w:rPr>
      </w:pPr>
      <m:oMath>
        <m:r>
          <w:rPr>
            <w:rFonts w:ascii="Cambria Math" w:hAnsi="Cambria Math" w:cs="Arial"/>
          </w:rPr>
          <m:t>i</m:t>
        </m:r>
      </m:oMath>
      <w:r w:rsidRPr="00B443DA">
        <w:rPr>
          <w:sz w:val="22"/>
          <w:lang w:eastAsia="fi-FI"/>
        </w:rPr>
        <w:tab/>
      </w:r>
      <w:r w:rsidRPr="00B443DA">
        <w:rPr>
          <w:lang w:eastAsia="fi-FI"/>
        </w:rPr>
        <w:t>Matkojen lähtöpaikan osa-alue</w:t>
      </w:r>
    </w:p>
    <w:p w14:paraId="5D4C6A50" w14:textId="77777777" w:rsidR="0001774B" w:rsidRPr="00B443DA" w:rsidRDefault="0001774B" w:rsidP="0001774B">
      <w:pPr>
        <w:pStyle w:val="BodyText"/>
        <w:ind w:left="1985" w:hanging="567"/>
        <w:rPr>
          <w:sz w:val="22"/>
          <w:lang w:eastAsia="fi-FI"/>
        </w:rPr>
      </w:pPr>
      <m:oMath>
        <m:r>
          <w:rPr>
            <w:rFonts w:ascii="Cambria Math" w:hAnsi="Cambria Math" w:cs="Arial"/>
          </w:rPr>
          <m:t>j</m:t>
        </m:r>
      </m:oMath>
      <w:r w:rsidRPr="00B443DA">
        <w:rPr>
          <w:sz w:val="22"/>
          <w:lang w:eastAsia="fi-FI"/>
        </w:rPr>
        <w:tab/>
      </w:r>
      <w:r w:rsidRPr="00B443DA">
        <w:rPr>
          <w:lang w:eastAsia="fi-FI"/>
        </w:rPr>
        <w:t>Matkojen määräpaikan osa-alue</w:t>
      </w:r>
    </w:p>
    <w:p w14:paraId="57975E38" w14:textId="77777777" w:rsidR="0001774B" w:rsidRPr="00B443DA" w:rsidRDefault="0001774B" w:rsidP="0001774B">
      <w:pPr>
        <w:pStyle w:val="BodyText"/>
        <w:ind w:left="1985" w:hanging="567"/>
        <w:rPr>
          <w:lang w:eastAsia="fi-FI"/>
        </w:rPr>
      </w:pPr>
      <m:oMath>
        <m:r>
          <w:rPr>
            <w:rFonts w:ascii="Cambria Math" w:hAnsi="Cambria Math" w:cs="Arial"/>
          </w:rPr>
          <m:t>f</m:t>
        </m:r>
      </m:oMath>
      <w:r w:rsidRPr="00B443DA">
        <w:rPr>
          <w:lang w:eastAsia="fi-FI"/>
        </w:rPr>
        <w:tab/>
        <w:t>Ennusteen vuosiluku</w:t>
      </w:r>
    </w:p>
    <w:p w14:paraId="65067E68" w14:textId="0FAA2A16" w:rsidR="0001774B" w:rsidRDefault="0001774B" w:rsidP="0001774B">
      <w:pPr>
        <w:pStyle w:val="BodyText"/>
        <w:ind w:left="1985" w:hanging="567"/>
        <w:rPr>
          <w:lang w:eastAsia="fi-FI"/>
        </w:rPr>
      </w:pPr>
      <m:oMath>
        <m:r>
          <w:rPr>
            <w:rFonts w:ascii="Cambria Math" w:hAnsi="Cambria Math"/>
            <w:lang w:eastAsia="fi-FI"/>
          </w:rPr>
          <m:t>k</m:t>
        </m:r>
      </m:oMath>
      <w:r w:rsidRPr="00B443DA">
        <w:rPr>
          <w:lang w:eastAsia="fi-FI"/>
        </w:rPr>
        <w:tab/>
        <w:t>Toimiala</w:t>
      </w:r>
      <w:r w:rsidR="004A5ECB">
        <w:rPr>
          <w:lang w:eastAsia="fi-FI"/>
        </w:rPr>
        <w:t>.</w:t>
      </w:r>
    </w:p>
    <w:p w14:paraId="5FB99867" w14:textId="29C45F6E" w:rsidR="001D53AB" w:rsidRDefault="001D53AB" w:rsidP="001D53AB">
      <w:pPr>
        <w:pStyle w:val="BodyText"/>
      </w:pPr>
      <w:r>
        <w:t>Ohjeen liitetiedoissa esitetään laskelmassa käytettävät toimialakohtaiset, Graham ym. (2010) määrittämät vaimenemiskertoimet</w:t>
      </w:r>
      <w:r w:rsidR="00C40986">
        <w:rPr>
          <w:rStyle w:val="FootnoteReference"/>
        </w:rPr>
        <w:footnoteReference w:id="7"/>
      </w:r>
      <w:r>
        <w:t>:</w:t>
      </w:r>
    </w:p>
    <w:p w14:paraId="6E18908A" w14:textId="7B557088" w:rsidR="001D53AB" w:rsidRDefault="001D53AB" w:rsidP="001D53AB">
      <w:pPr>
        <w:pStyle w:val="BodyText"/>
        <w:numPr>
          <w:ilvl w:val="0"/>
          <w:numId w:val="23"/>
        </w:numPr>
      </w:pPr>
      <w:r>
        <w:t>Teollisuus (</w:t>
      </w:r>
      <w:r w:rsidRPr="0075772E">
        <w:rPr>
          <w:i/>
          <w:iCs/>
        </w:rPr>
        <w:t>Manufacturing</w:t>
      </w:r>
      <w:r>
        <w:t>): 1,097</w:t>
      </w:r>
    </w:p>
    <w:p w14:paraId="3F6DF844" w14:textId="21CE444E" w:rsidR="001D53AB" w:rsidRDefault="001D53AB" w:rsidP="001D53AB">
      <w:pPr>
        <w:pStyle w:val="BodyText"/>
        <w:numPr>
          <w:ilvl w:val="0"/>
          <w:numId w:val="23"/>
        </w:numPr>
      </w:pPr>
      <w:r>
        <w:t>Rakentaminen (</w:t>
      </w:r>
      <w:r w:rsidRPr="0075772E">
        <w:rPr>
          <w:i/>
          <w:iCs/>
        </w:rPr>
        <w:t>Construction</w:t>
      </w:r>
      <w:r>
        <w:t>): 1,562</w:t>
      </w:r>
    </w:p>
    <w:p w14:paraId="78DA2589" w14:textId="291C6FA2" w:rsidR="001D53AB" w:rsidRDefault="001D53AB" w:rsidP="001D53AB">
      <w:pPr>
        <w:pStyle w:val="BodyText"/>
        <w:numPr>
          <w:ilvl w:val="0"/>
          <w:numId w:val="23"/>
        </w:numPr>
      </w:pPr>
      <w:r>
        <w:t>Kuluttajapalvelut (</w:t>
      </w:r>
      <w:r w:rsidRPr="0075772E">
        <w:rPr>
          <w:i/>
          <w:iCs/>
        </w:rPr>
        <w:t>Consumer services</w:t>
      </w:r>
      <w:r>
        <w:t>): 1,818</w:t>
      </w:r>
    </w:p>
    <w:p w14:paraId="63DEFAFE" w14:textId="278FC4D9" w:rsidR="001D53AB" w:rsidRDefault="001D53AB" w:rsidP="001D53AB">
      <w:pPr>
        <w:pStyle w:val="BodyText"/>
        <w:numPr>
          <w:ilvl w:val="0"/>
          <w:numId w:val="23"/>
        </w:numPr>
      </w:pPr>
      <w:r>
        <w:t>Palvelut yrityksille (</w:t>
      </w:r>
      <w:r w:rsidRPr="0075772E">
        <w:rPr>
          <w:i/>
          <w:iCs/>
        </w:rPr>
        <w:t>Producer services</w:t>
      </w:r>
      <w:r>
        <w:t>): 1,746.</w:t>
      </w:r>
    </w:p>
    <w:p w14:paraId="452C437B" w14:textId="77777777" w:rsidR="0001774B" w:rsidRPr="00B443DA" w:rsidRDefault="0001774B" w:rsidP="0001774B">
      <w:pPr>
        <w:rPr>
          <w:lang w:eastAsia="fi-FI"/>
        </w:rPr>
      </w:pPr>
    </w:p>
    <w:p w14:paraId="0B705A53" w14:textId="24927486" w:rsidR="008E5CB8" w:rsidRDefault="008E5CB8" w:rsidP="008E5CB8">
      <w:pPr>
        <w:pStyle w:val="BodyText"/>
        <w:rPr>
          <w:lang w:eastAsia="fi-FI"/>
        </w:rPr>
      </w:pPr>
      <w:r>
        <w:rPr>
          <w:lang w:eastAsia="fi-FI"/>
        </w:rPr>
        <w:t>Laskelmassa käytettävä t</w:t>
      </w:r>
      <w:r w:rsidR="0001774B" w:rsidRPr="00B443DA">
        <w:rPr>
          <w:lang w:eastAsia="fi-FI"/>
        </w:rPr>
        <w:t>yöpaikka</w:t>
      </w:r>
      <w:r>
        <w:rPr>
          <w:lang w:eastAsia="fi-FI"/>
        </w:rPr>
        <w:t xml:space="preserve">määrän ennuste </w:t>
      </w:r>
      <w:r w:rsidR="004A5ECB">
        <w:rPr>
          <w:lang w:eastAsia="fi-FI"/>
        </w:rPr>
        <w:t xml:space="preserve">esitetään ohjeen liitetiedoissa </w:t>
      </w:r>
      <w:r>
        <w:rPr>
          <w:lang w:eastAsia="fi-FI"/>
        </w:rPr>
        <w:t>1520 alueen (</w:t>
      </w:r>
      <w:r w:rsidRPr="008E5CB8">
        <w:rPr>
          <w:i/>
          <w:iCs/>
          <w:lang w:eastAsia="fi-FI"/>
        </w:rPr>
        <w:t>Local Authority District, LAD</w:t>
      </w:r>
      <w:r>
        <w:rPr>
          <w:lang w:eastAsia="fi-FI"/>
        </w:rPr>
        <w:t xml:space="preserve">) ja neljän toimialaryhmän erottelulla. </w:t>
      </w:r>
    </w:p>
    <w:p w14:paraId="32BE82BF" w14:textId="74B625EC" w:rsidR="008E5CB8" w:rsidRDefault="008E5CB8" w:rsidP="008E5CB8">
      <w:pPr>
        <w:pStyle w:val="Caption"/>
      </w:pPr>
      <w:r>
        <w:t xml:space="preserve">Taulukko </w:t>
      </w:r>
      <w:r w:rsidR="0040610B">
        <w:fldChar w:fldCharType="begin"/>
      </w:r>
      <w:r w:rsidR="0040610B">
        <w:instrText xml:space="preserve"> SEQ Taulukko \* ARABIC </w:instrText>
      </w:r>
      <w:r w:rsidR="0040610B">
        <w:fldChar w:fldCharType="separate"/>
      </w:r>
      <w:r w:rsidR="00FA65C8">
        <w:rPr>
          <w:noProof/>
        </w:rPr>
        <w:t>1</w:t>
      </w:r>
      <w:r w:rsidR="0040610B">
        <w:rPr>
          <w:noProof/>
        </w:rPr>
        <w:fldChar w:fldCharType="end"/>
      </w:r>
      <w:r>
        <w:t>.</w:t>
      </w:r>
      <w:r w:rsidR="004B2F7F">
        <w:t xml:space="preserve"> </w:t>
      </w:r>
      <w:r>
        <w:t xml:space="preserve">Ote Iso-Britannian arviointiohjeen liitteestä, jossa esitetään työllisten määrän </w:t>
      </w:r>
      <w:r w:rsidR="001D53AB">
        <w:t>ennuste</w:t>
      </w:r>
      <w:r>
        <w:t>.</w:t>
      </w:r>
    </w:p>
    <w:tbl>
      <w:tblPr>
        <w:tblW w:w="8217" w:type="dxa"/>
        <w:tblInd w:w="1276" w:type="dxa"/>
        <w:tblLayout w:type="fixed"/>
        <w:tblCellMar>
          <w:left w:w="70" w:type="dxa"/>
          <w:right w:w="70" w:type="dxa"/>
        </w:tblCellMar>
        <w:tblLook w:val="04A0" w:firstRow="1" w:lastRow="0" w:firstColumn="1" w:lastColumn="0" w:noHBand="0" w:noVBand="1"/>
      </w:tblPr>
      <w:tblGrid>
        <w:gridCol w:w="979"/>
        <w:gridCol w:w="1395"/>
        <w:gridCol w:w="584"/>
        <w:gridCol w:w="584"/>
        <w:gridCol w:w="584"/>
        <w:gridCol w:w="585"/>
        <w:gridCol w:w="584"/>
        <w:gridCol w:w="584"/>
        <w:gridCol w:w="585"/>
        <w:gridCol w:w="584"/>
        <w:gridCol w:w="584"/>
        <w:gridCol w:w="585"/>
      </w:tblGrid>
      <w:tr w:rsidR="00EE6FFC" w:rsidRPr="00EE6FFC" w14:paraId="462392CA" w14:textId="77777777" w:rsidTr="00EE6FFC">
        <w:trPr>
          <w:trHeight w:val="255"/>
        </w:trPr>
        <w:tc>
          <w:tcPr>
            <w:tcW w:w="979"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69A4A5D" w14:textId="77777777" w:rsidR="00EE6FFC" w:rsidRPr="00EE6FFC" w:rsidRDefault="00EE6FFC" w:rsidP="00EE6FFC">
            <w:pPr>
              <w:rPr>
                <w:rFonts w:eastAsia="Times New Roman" w:cs="Arial"/>
                <w:b/>
                <w:bCs/>
                <w:sz w:val="12"/>
                <w:szCs w:val="12"/>
                <w:lang w:eastAsia="fi-FI"/>
              </w:rPr>
            </w:pPr>
            <w:r w:rsidRPr="00EE6FFC">
              <w:rPr>
                <w:rFonts w:eastAsia="Times New Roman" w:cs="Arial"/>
                <w:b/>
                <w:bCs/>
                <w:sz w:val="12"/>
                <w:szCs w:val="12"/>
                <w:lang w:eastAsia="fi-FI"/>
              </w:rPr>
              <w:t>LAD_name</w:t>
            </w:r>
          </w:p>
        </w:tc>
        <w:tc>
          <w:tcPr>
            <w:tcW w:w="1395" w:type="dxa"/>
            <w:tcBorders>
              <w:top w:val="single" w:sz="4" w:space="0" w:color="auto"/>
              <w:left w:val="nil"/>
              <w:bottom w:val="single" w:sz="4" w:space="0" w:color="auto"/>
              <w:right w:val="nil"/>
            </w:tcBorders>
            <w:shd w:val="clear" w:color="000000" w:fill="CCFFFF"/>
            <w:noWrap/>
            <w:vAlign w:val="center"/>
            <w:hideMark/>
          </w:tcPr>
          <w:p w14:paraId="2823A509" w14:textId="77777777" w:rsidR="00EE6FFC" w:rsidRPr="00EE6FFC" w:rsidRDefault="00EE6FFC" w:rsidP="00EE6FFC">
            <w:pPr>
              <w:rPr>
                <w:rFonts w:eastAsia="Times New Roman" w:cs="Arial"/>
                <w:b/>
                <w:bCs/>
                <w:sz w:val="12"/>
                <w:szCs w:val="12"/>
                <w:lang w:eastAsia="fi-FI"/>
              </w:rPr>
            </w:pPr>
            <w:r w:rsidRPr="00EE6FFC">
              <w:rPr>
                <w:rFonts w:eastAsia="Times New Roman" w:cs="Arial"/>
                <w:b/>
                <w:bCs/>
                <w:sz w:val="12"/>
                <w:szCs w:val="12"/>
                <w:lang w:eastAsia="fi-FI"/>
              </w:rPr>
              <w:t>4 sectors</w:t>
            </w:r>
          </w:p>
        </w:tc>
        <w:tc>
          <w:tcPr>
            <w:tcW w:w="584" w:type="dxa"/>
            <w:tcBorders>
              <w:top w:val="single" w:sz="4" w:space="0" w:color="auto"/>
              <w:left w:val="single" w:sz="8" w:space="0" w:color="auto"/>
              <w:bottom w:val="single" w:sz="4" w:space="0" w:color="auto"/>
              <w:right w:val="single" w:sz="4" w:space="0" w:color="auto"/>
            </w:tcBorders>
            <w:shd w:val="clear" w:color="000000" w:fill="FFFF99"/>
            <w:noWrap/>
            <w:vAlign w:val="center"/>
            <w:hideMark/>
          </w:tcPr>
          <w:p w14:paraId="7A7F0D2D"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2011</w:t>
            </w:r>
          </w:p>
        </w:tc>
        <w:tc>
          <w:tcPr>
            <w:tcW w:w="584" w:type="dxa"/>
            <w:tcBorders>
              <w:top w:val="single" w:sz="4" w:space="0" w:color="auto"/>
              <w:left w:val="nil"/>
              <w:bottom w:val="single" w:sz="4" w:space="0" w:color="auto"/>
              <w:right w:val="single" w:sz="4" w:space="0" w:color="auto"/>
            </w:tcBorders>
            <w:shd w:val="clear" w:color="000000" w:fill="FFFF99"/>
            <w:noWrap/>
            <w:vAlign w:val="center"/>
            <w:hideMark/>
          </w:tcPr>
          <w:p w14:paraId="77297F6A"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2016</w:t>
            </w:r>
          </w:p>
        </w:tc>
        <w:tc>
          <w:tcPr>
            <w:tcW w:w="584" w:type="dxa"/>
            <w:tcBorders>
              <w:top w:val="single" w:sz="4" w:space="0" w:color="auto"/>
              <w:left w:val="nil"/>
              <w:bottom w:val="single" w:sz="4" w:space="0" w:color="auto"/>
              <w:right w:val="single" w:sz="4" w:space="0" w:color="auto"/>
            </w:tcBorders>
            <w:shd w:val="clear" w:color="000000" w:fill="FFFF99"/>
            <w:noWrap/>
            <w:vAlign w:val="center"/>
            <w:hideMark/>
          </w:tcPr>
          <w:p w14:paraId="0E0A0052"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2021</w:t>
            </w:r>
          </w:p>
        </w:tc>
        <w:tc>
          <w:tcPr>
            <w:tcW w:w="585" w:type="dxa"/>
            <w:tcBorders>
              <w:top w:val="single" w:sz="4" w:space="0" w:color="auto"/>
              <w:left w:val="nil"/>
              <w:bottom w:val="single" w:sz="4" w:space="0" w:color="auto"/>
              <w:right w:val="single" w:sz="4" w:space="0" w:color="auto"/>
            </w:tcBorders>
            <w:shd w:val="clear" w:color="000000" w:fill="FFFF99"/>
            <w:noWrap/>
            <w:vAlign w:val="center"/>
            <w:hideMark/>
          </w:tcPr>
          <w:p w14:paraId="30BAF22D"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2026</w:t>
            </w:r>
          </w:p>
        </w:tc>
        <w:tc>
          <w:tcPr>
            <w:tcW w:w="584" w:type="dxa"/>
            <w:tcBorders>
              <w:top w:val="single" w:sz="4" w:space="0" w:color="auto"/>
              <w:left w:val="nil"/>
              <w:bottom w:val="single" w:sz="4" w:space="0" w:color="auto"/>
              <w:right w:val="single" w:sz="4" w:space="0" w:color="auto"/>
            </w:tcBorders>
            <w:shd w:val="clear" w:color="000000" w:fill="FFFF99"/>
            <w:noWrap/>
            <w:vAlign w:val="center"/>
            <w:hideMark/>
          </w:tcPr>
          <w:p w14:paraId="2EA76373"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2036</w:t>
            </w:r>
          </w:p>
        </w:tc>
        <w:tc>
          <w:tcPr>
            <w:tcW w:w="584" w:type="dxa"/>
            <w:tcBorders>
              <w:top w:val="single" w:sz="4" w:space="0" w:color="auto"/>
              <w:left w:val="nil"/>
              <w:bottom w:val="single" w:sz="4" w:space="0" w:color="auto"/>
              <w:right w:val="single" w:sz="4" w:space="0" w:color="auto"/>
            </w:tcBorders>
            <w:shd w:val="clear" w:color="000000" w:fill="FFFF99"/>
            <w:noWrap/>
            <w:vAlign w:val="center"/>
            <w:hideMark/>
          </w:tcPr>
          <w:p w14:paraId="7A66EC99"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2046</w:t>
            </w:r>
          </w:p>
        </w:tc>
        <w:tc>
          <w:tcPr>
            <w:tcW w:w="585" w:type="dxa"/>
            <w:tcBorders>
              <w:top w:val="single" w:sz="4" w:space="0" w:color="auto"/>
              <w:left w:val="nil"/>
              <w:bottom w:val="single" w:sz="4" w:space="0" w:color="auto"/>
              <w:right w:val="single" w:sz="4" w:space="0" w:color="auto"/>
            </w:tcBorders>
            <w:shd w:val="clear" w:color="000000" w:fill="FFFF99"/>
            <w:noWrap/>
            <w:vAlign w:val="center"/>
            <w:hideMark/>
          </w:tcPr>
          <w:p w14:paraId="7831ED2C"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2056</w:t>
            </w:r>
          </w:p>
        </w:tc>
        <w:tc>
          <w:tcPr>
            <w:tcW w:w="584" w:type="dxa"/>
            <w:tcBorders>
              <w:top w:val="single" w:sz="4" w:space="0" w:color="auto"/>
              <w:left w:val="nil"/>
              <w:bottom w:val="single" w:sz="4" w:space="0" w:color="auto"/>
              <w:right w:val="single" w:sz="4" w:space="0" w:color="auto"/>
            </w:tcBorders>
            <w:shd w:val="clear" w:color="000000" w:fill="FFFF99"/>
            <w:noWrap/>
            <w:vAlign w:val="center"/>
            <w:hideMark/>
          </w:tcPr>
          <w:p w14:paraId="68D1660A"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2066</w:t>
            </w:r>
          </w:p>
        </w:tc>
        <w:tc>
          <w:tcPr>
            <w:tcW w:w="584" w:type="dxa"/>
            <w:tcBorders>
              <w:top w:val="single" w:sz="4" w:space="0" w:color="auto"/>
              <w:left w:val="nil"/>
              <w:bottom w:val="single" w:sz="4" w:space="0" w:color="auto"/>
              <w:right w:val="single" w:sz="4" w:space="0" w:color="auto"/>
            </w:tcBorders>
            <w:shd w:val="clear" w:color="000000" w:fill="FFFF99"/>
            <w:noWrap/>
            <w:vAlign w:val="center"/>
            <w:hideMark/>
          </w:tcPr>
          <w:p w14:paraId="143BC557"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2076</w:t>
            </w:r>
          </w:p>
        </w:tc>
        <w:tc>
          <w:tcPr>
            <w:tcW w:w="585" w:type="dxa"/>
            <w:tcBorders>
              <w:top w:val="single" w:sz="4" w:space="0" w:color="auto"/>
              <w:left w:val="nil"/>
              <w:bottom w:val="single" w:sz="4" w:space="0" w:color="auto"/>
              <w:right w:val="single" w:sz="4" w:space="0" w:color="auto"/>
            </w:tcBorders>
            <w:shd w:val="clear" w:color="000000" w:fill="FFFF99"/>
            <w:noWrap/>
            <w:vAlign w:val="center"/>
            <w:hideMark/>
          </w:tcPr>
          <w:p w14:paraId="540E5D71"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2081</w:t>
            </w:r>
          </w:p>
        </w:tc>
      </w:tr>
      <w:tr w:rsidR="00EE6FFC" w:rsidRPr="00EE6FFC" w14:paraId="18DB830C" w14:textId="77777777" w:rsidTr="00EE6FFC">
        <w:trPr>
          <w:trHeight w:val="255"/>
        </w:trPr>
        <w:tc>
          <w:tcPr>
            <w:tcW w:w="979" w:type="dxa"/>
            <w:tcBorders>
              <w:top w:val="nil"/>
              <w:left w:val="single" w:sz="4" w:space="0" w:color="auto"/>
              <w:bottom w:val="nil"/>
              <w:right w:val="single" w:sz="4" w:space="0" w:color="auto"/>
            </w:tcBorders>
            <w:shd w:val="clear" w:color="000000" w:fill="CCFFFF"/>
            <w:noWrap/>
            <w:vAlign w:val="center"/>
            <w:hideMark/>
          </w:tcPr>
          <w:p w14:paraId="22E06394"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Darlington</w:t>
            </w:r>
          </w:p>
        </w:tc>
        <w:tc>
          <w:tcPr>
            <w:tcW w:w="1395" w:type="dxa"/>
            <w:tcBorders>
              <w:top w:val="nil"/>
              <w:left w:val="nil"/>
              <w:bottom w:val="nil"/>
              <w:right w:val="nil"/>
            </w:tcBorders>
            <w:shd w:val="clear" w:color="000000" w:fill="CCFFFF"/>
            <w:noWrap/>
            <w:vAlign w:val="center"/>
            <w:hideMark/>
          </w:tcPr>
          <w:p w14:paraId="1558F77D"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Manufacturing</w:t>
            </w:r>
          </w:p>
        </w:tc>
        <w:tc>
          <w:tcPr>
            <w:tcW w:w="584" w:type="dxa"/>
            <w:tcBorders>
              <w:top w:val="nil"/>
              <w:left w:val="single" w:sz="8" w:space="0" w:color="auto"/>
              <w:bottom w:val="nil"/>
              <w:right w:val="single" w:sz="4" w:space="0" w:color="auto"/>
            </w:tcBorders>
            <w:shd w:val="clear" w:color="auto" w:fill="auto"/>
            <w:noWrap/>
            <w:vAlign w:val="center"/>
            <w:hideMark/>
          </w:tcPr>
          <w:p w14:paraId="111B3E45"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6 824</w:t>
            </w:r>
          </w:p>
        </w:tc>
        <w:tc>
          <w:tcPr>
            <w:tcW w:w="584" w:type="dxa"/>
            <w:tcBorders>
              <w:top w:val="nil"/>
              <w:left w:val="nil"/>
              <w:bottom w:val="nil"/>
              <w:right w:val="single" w:sz="4" w:space="0" w:color="auto"/>
            </w:tcBorders>
            <w:shd w:val="clear" w:color="auto" w:fill="auto"/>
            <w:noWrap/>
            <w:vAlign w:val="center"/>
            <w:hideMark/>
          </w:tcPr>
          <w:p w14:paraId="5D3097F5"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4 598</w:t>
            </w:r>
          </w:p>
        </w:tc>
        <w:tc>
          <w:tcPr>
            <w:tcW w:w="584" w:type="dxa"/>
            <w:tcBorders>
              <w:top w:val="nil"/>
              <w:left w:val="nil"/>
              <w:bottom w:val="nil"/>
              <w:right w:val="single" w:sz="4" w:space="0" w:color="auto"/>
            </w:tcBorders>
            <w:shd w:val="clear" w:color="auto" w:fill="auto"/>
            <w:noWrap/>
            <w:vAlign w:val="center"/>
            <w:hideMark/>
          </w:tcPr>
          <w:p w14:paraId="2C42895E"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5 037</w:t>
            </w:r>
          </w:p>
        </w:tc>
        <w:tc>
          <w:tcPr>
            <w:tcW w:w="585" w:type="dxa"/>
            <w:tcBorders>
              <w:top w:val="nil"/>
              <w:left w:val="nil"/>
              <w:bottom w:val="nil"/>
              <w:right w:val="single" w:sz="4" w:space="0" w:color="auto"/>
            </w:tcBorders>
            <w:shd w:val="clear" w:color="auto" w:fill="auto"/>
            <w:noWrap/>
            <w:vAlign w:val="center"/>
            <w:hideMark/>
          </w:tcPr>
          <w:p w14:paraId="0F9C9C31"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4 840</w:t>
            </w:r>
          </w:p>
        </w:tc>
        <w:tc>
          <w:tcPr>
            <w:tcW w:w="584" w:type="dxa"/>
            <w:tcBorders>
              <w:top w:val="nil"/>
              <w:left w:val="nil"/>
              <w:bottom w:val="nil"/>
              <w:right w:val="single" w:sz="4" w:space="0" w:color="auto"/>
            </w:tcBorders>
            <w:shd w:val="clear" w:color="auto" w:fill="auto"/>
            <w:noWrap/>
            <w:vAlign w:val="center"/>
            <w:hideMark/>
          </w:tcPr>
          <w:p w14:paraId="2E3586B6"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4 406</w:t>
            </w:r>
          </w:p>
        </w:tc>
        <w:tc>
          <w:tcPr>
            <w:tcW w:w="584" w:type="dxa"/>
            <w:tcBorders>
              <w:top w:val="nil"/>
              <w:left w:val="nil"/>
              <w:bottom w:val="nil"/>
              <w:right w:val="single" w:sz="4" w:space="0" w:color="auto"/>
            </w:tcBorders>
            <w:shd w:val="clear" w:color="auto" w:fill="auto"/>
            <w:noWrap/>
            <w:vAlign w:val="center"/>
            <w:hideMark/>
          </w:tcPr>
          <w:p w14:paraId="303F651D"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3 974</w:t>
            </w:r>
          </w:p>
        </w:tc>
        <w:tc>
          <w:tcPr>
            <w:tcW w:w="585" w:type="dxa"/>
            <w:tcBorders>
              <w:top w:val="nil"/>
              <w:left w:val="nil"/>
              <w:bottom w:val="nil"/>
              <w:right w:val="single" w:sz="4" w:space="0" w:color="auto"/>
            </w:tcBorders>
            <w:shd w:val="clear" w:color="auto" w:fill="auto"/>
            <w:noWrap/>
            <w:vAlign w:val="center"/>
            <w:hideMark/>
          </w:tcPr>
          <w:p w14:paraId="04CAD1D5"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3 526</w:t>
            </w:r>
          </w:p>
        </w:tc>
        <w:tc>
          <w:tcPr>
            <w:tcW w:w="584" w:type="dxa"/>
            <w:tcBorders>
              <w:top w:val="nil"/>
              <w:left w:val="nil"/>
              <w:bottom w:val="nil"/>
              <w:right w:val="single" w:sz="4" w:space="0" w:color="auto"/>
            </w:tcBorders>
            <w:shd w:val="clear" w:color="auto" w:fill="auto"/>
            <w:noWrap/>
            <w:vAlign w:val="center"/>
            <w:hideMark/>
          </w:tcPr>
          <w:p w14:paraId="0725F076"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3 150</w:t>
            </w:r>
          </w:p>
        </w:tc>
        <w:tc>
          <w:tcPr>
            <w:tcW w:w="584" w:type="dxa"/>
            <w:tcBorders>
              <w:top w:val="nil"/>
              <w:left w:val="nil"/>
              <w:bottom w:val="nil"/>
              <w:right w:val="single" w:sz="4" w:space="0" w:color="auto"/>
            </w:tcBorders>
            <w:shd w:val="clear" w:color="auto" w:fill="auto"/>
            <w:noWrap/>
            <w:vAlign w:val="center"/>
            <w:hideMark/>
          </w:tcPr>
          <w:p w14:paraId="25899893"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2 867</w:t>
            </w:r>
          </w:p>
        </w:tc>
        <w:tc>
          <w:tcPr>
            <w:tcW w:w="585" w:type="dxa"/>
            <w:tcBorders>
              <w:top w:val="nil"/>
              <w:left w:val="nil"/>
              <w:bottom w:val="nil"/>
              <w:right w:val="single" w:sz="4" w:space="0" w:color="auto"/>
            </w:tcBorders>
            <w:shd w:val="clear" w:color="auto" w:fill="auto"/>
            <w:noWrap/>
            <w:vAlign w:val="center"/>
            <w:hideMark/>
          </w:tcPr>
          <w:p w14:paraId="2AAF0EE7"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2 744</w:t>
            </w:r>
          </w:p>
        </w:tc>
      </w:tr>
      <w:tr w:rsidR="00EE6FFC" w:rsidRPr="00EE6FFC" w14:paraId="2998AA60" w14:textId="77777777" w:rsidTr="00EE6FFC">
        <w:trPr>
          <w:trHeight w:val="255"/>
        </w:trPr>
        <w:tc>
          <w:tcPr>
            <w:tcW w:w="979" w:type="dxa"/>
            <w:tcBorders>
              <w:top w:val="nil"/>
              <w:left w:val="single" w:sz="4" w:space="0" w:color="auto"/>
              <w:bottom w:val="nil"/>
              <w:right w:val="single" w:sz="4" w:space="0" w:color="auto"/>
            </w:tcBorders>
            <w:shd w:val="clear" w:color="000000" w:fill="CCFFFF"/>
            <w:noWrap/>
            <w:vAlign w:val="center"/>
            <w:hideMark/>
          </w:tcPr>
          <w:p w14:paraId="6647EDD4"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Darlington</w:t>
            </w:r>
          </w:p>
        </w:tc>
        <w:tc>
          <w:tcPr>
            <w:tcW w:w="1395" w:type="dxa"/>
            <w:tcBorders>
              <w:top w:val="nil"/>
              <w:left w:val="nil"/>
              <w:bottom w:val="nil"/>
              <w:right w:val="nil"/>
            </w:tcBorders>
            <w:shd w:val="clear" w:color="000000" w:fill="CCFFFF"/>
            <w:noWrap/>
            <w:vAlign w:val="center"/>
            <w:hideMark/>
          </w:tcPr>
          <w:p w14:paraId="707BC364"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Construction</w:t>
            </w:r>
          </w:p>
        </w:tc>
        <w:tc>
          <w:tcPr>
            <w:tcW w:w="584" w:type="dxa"/>
            <w:tcBorders>
              <w:top w:val="nil"/>
              <w:left w:val="single" w:sz="8" w:space="0" w:color="auto"/>
              <w:bottom w:val="nil"/>
              <w:right w:val="single" w:sz="4" w:space="0" w:color="auto"/>
            </w:tcBorders>
            <w:shd w:val="clear" w:color="auto" w:fill="auto"/>
            <w:noWrap/>
            <w:vAlign w:val="center"/>
            <w:hideMark/>
          </w:tcPr>
          <w:p w14:paraId="5703CA50"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2 812</w:t>
            </w:r>
          </w:p>
        </w:tc>
        <w:tc>
          <w:tcPr>
            <w:tcW w:w="584" w:type="dxa"/>
            <w:tcBorders>
              <w:top w:val="nil"/>
              <w:left w:val="nil"/>
              <w:bottom w:val="nil"/>
              <w:right w:val="single" w:sz="4" w:space="0" w:color="auto"/>
            </w:tcBorders>
            <w:shd w:val="clear" w:color="auto" w:fill="auto"/>
            <w:noWrap/>
            <w:vAlign w:val="center"/>
            <w:hideMark/>
          </w:tcPr>
          <w:p w14:paraId="477549FC"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2 488</w:t>
            </w:r>
          </w:p>
        </w:tc>
        <w:tc>
          <w:tcPr>
            <w:tcW w:w="584" w:type="dxa"/>
            <w:tcBorders>
              <w:top w:val="nil"/>
              <w:left w:val="nil"/>
              <w:bottom w:val="nil"/>
              <w:right w:val="single" w:sz="4" w:space="0" w:color="auto"/>
            </w:tcBorders>
            <w:shd w:val="clear" w:color="auto" w:fill="auto"/>
            <w:noWrap/>
            <w:vAlign w:val="center"/>
            <w:hideMark/>
          </w:tcPr>
          <w:p w14:paraId="79A42A1A"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2 387</w:t>
            </w:r>
          </w:p>
        </w:tc>
        <w:tc>
          <w:tcPr>
            <w:tcW w:w="585" w:type="dxa"/>
            <w:tcBorders>
              <w:top w:val="nil"/>
              <w:left w:val="nil"/>
              <w:bottom w:val="nil"/>
              <w:right w:val="single" w:sz="4" w:space="0" w:color="auto"/>
            </w:tcBorders>
            <w:shd w:val="clear" w:color="auto" w:fill="auto"/>
            <w:noWrap/>
            <w:vAlign w:val="center"/>
            <w:hideMark/>
          </w:tcPr>
          <w:p w14:paraId="29F01451"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2 431</w:t>
            </w:r>
          </w:p>
        </w:tc>
        <w:tc>
          <w:tcPr>
            <w:tcW w:w="584" w:type="dxa"/>
            <w:tcBorders>
              <w:top w:val="nil"/>
              <w:left w:val="nil"/>
              <w:bottom w:val="nil"/>
              <w:right w:val="single" w:sz="4" w:space="0" w:color="auto"/>
            </w:tcBorders>
            <w:shd w:val="clear" w:color="auto" w:fill="auto"/>
            <w:noWrap/>
            <w:vAlign w:val="center"/>
            <w:hideMark/>
          </w:tcPr>
          <w:p w14:paraId="408F644A"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2 517</w:t>
            </w:r>
          </w:p>
        </w:tc>
        <w:tc>
          <w:tcPr>
            <w:tcW w:w="584" w:type="dxa"/>
            <w:tcBorders>
              <w:top w:val="nil"/>
              <w:left w:val="nil"/>
              <w:bottom w:val="nil"/>
              <w:right w:val="single" w:sz="4" w:space="0" w:color="auto"/>
            </w:tcBorders>
            <w:shd w:val="clear" w:color="auto" w:fill="auto"/>
            <w:noWrap/>
            <w:vAlign w:val="center"/>
            <w:hideMark/>
          </w:tcPr>
          <w:p w14:paraId="2A4BBA3A"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2 612</w:t>
            </w:r>
          </w:p>
        </w:tc>
        <w:tc>
          <w:tcPr>
            <w:tcW w:w="585" w:type="dxa"/>
            <w:tcBorders>
              <w:top w:val="nil"/>
              <w:left w:val="nil"/>
              <w:bottom w:val="nil"/>
              <w:right w:val="single" w:sz="4" w:space="0" w:color="auto"/>
            </w:tcBorders>
            <w:shd w:val="clear" w:color="auto" w:fill="auto"/>
            <w:noWrap/>
            <w:vAlign w:val="center"/>
            <w:hideMark/>
          </w:tcPr>
          <w:p w14:paraId="03386284"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2 689</w:t>
            </w:r>
          </w:p>
        </w:tc>
        <w:tc>
          <w:tcPr>
            <w:tcW w:w="584" w:type="dxa"/>
            <w:tcBorders>
              <w:top w:val="nil"/>
              <w:left w:val="nil"/>
              <w:bottom w:val="nil"/>
              <w:right w:val="single" w:sz="4" w:space="0" w:color="auto"/>
            </w:tcBorders>
            <w:shd w:val="clear" w:color="auto" w:fill="auto"/>
            <w:noWrap/>
            <w:vAlign w:val="center"/>
            <w:hideMark/>
          </w:tcPr>
          <w:p w14:paraId="0FADD8E9"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2 750</w:t>
            </w:r>
          </w:p>
        </w:tc>
        <w:tc>
          <w:tcPr>
            <w:tcW w:w="584" w:type="dxa"/>
            <w:tcBorders>
              <w:top w:val="nil"/>
              <w:left w:val="nil"/>
              <w:bottom w:val="nil"/>
              <w:right w:val="single" w:sz="4" w:space="0" w:color="auto"/>
            </w:tcBorders>
            <w:shd w:val="clear" w:color="auto" w:fill="auto"/>
            <w:noWrap/>
            <w:vAlign w:val="center"/>
            <w:hideMark/>
          </w:tcPr>
          <w:p w14:paraId="5FE4B11C"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2 829</w:t>
            </w:r>
          </w:p>
        </w:tc>
        <w:tc>
          <w:tcPr>
            <w:tcW w:w="585" w:type="dxa"/>
            <w:tcBorders>
              <w:top w:val="nil"/>
              <w:left w:val="nil"/>
              <w:bottom w:val="nil"/>
              <w:right w:val="single" w:sz="4" w:space="0" w:color="auto"/>
            </w:tcBorders>
            <w:shd w:val="clear" w:color="auto" w:fill="auto"/>
            <w:noWrap/>
            <w:vAlign w:val="center"/>
            <w:hideMark/>
          </w:tcPr>
          <w:p w14:paraId="636B61ED"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2 866</w:t>
            </w:r>
          </w:p>
        </w:tc>
      </w:tr>
      <w:tr w:rsidR="00EE6FFC" w:rsidRPr="00EE6FFC" w14:paraId="16F0354C" w14:textId="77777777" w:rsidTr="00EE6FFC">
        <w:trPr>
          <w:trHeight w:val="255"/>
        </w:trPr>
        <w:tc>
          <w:tcPr>
            <w:tcW w:w="979" w:type="dxa"/>
            <w:tcBorders>
              <w:top w:val="nil"/>
              <w:left w:val="single" w:sz="4" w:space="0" w:color="auto"/>
              <w:bottom w:val="nil"/>
              <w:right w:val="single" w:sz="4" w:space="0" w:color="auto"/>
            </w:tcBorders>
            <w:shd w:val="clear" w:color="000000" w:fill="CCFFFF"/>
            <w:noWrap/>
            <w:vAlign w:val="center"/>
            <w:hideMark/>
          </w:tcPr>
          <w:p w14:paraId="2EC298CA"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Darlington</w:t>
            </w:r>
          </w:p>
        </w:tc>
        <w:tc>
          <w:tcPr>
            <w:tcW w:w="1395" w:type="dxa"/>
            <w:tcBorders>
              <w:top w:val="nil"/>
              <w:left w:val="nil"/>
              <w:bottom w:val="nil"/>
              <w:right w:val="nil"/>
            </w:tcBorders>
            <w:shd w:val="clear" w:color="000000" w:fill="CCFFFF"/>
            <w:noWrap/>
            <w:vAlign w:val="center"/>
            <w:hideMark/>
          </w:tcPr>
          <w:p w14:paraId="7A6C4C0E"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Consumer services</w:t>
            </w:r>
          </w:p>
        </w:tc>
        <w:tc>
          <w:tcPr>
            <w:tcW w:w="584" w:type="dxa"/>
            <w:tcBorders>
              <w:top w:val="nil"/>
              <w:left w:val="single" w:sz="8" w:space="0" w:color="auto"/>
              <w:bottom w:val="nil"/>
              <w:right w:val="single" w:sz="4" w:space="0" w:color="auto"/>
            </w:tcBorders>
            <w:shd w:val="clear" w:color="auto" w:fill="auto"/>
            <w:noWrap/>
            <w:vAlign w:val="center"/>
            <w:hideMark/>
          </w:tcPr>
          <w:p w14:paraId="27AEAAA6"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19 858</w:t>
            </w:r>
          </w:p>
        </w:tc>
        <w:tc>
          <w:tcPr>
            <w:tcW w:w="584" w:type="dxa"/>
            <w:tcBorders>
              <w:top w:val="nil"/>
              <w:left w:val="nil"/>
              <w:bottom w:val="nil"/>
              <w:right w:val="single" w:sz="4" w:space="0" w:color="auto"/>
            </w:tcBorders>
            <w:shd w:val="clear" w:color="auto" w:fill="auto"/>
            <w:noWrap/>
            <w:vAlign w:val="center"/>
            <w:hideMark/>
          </w:tcPr>
          <w:p w14:paraId="72D57BFE"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22 064</w:t>
            </w:r>
          </w:p>
        </w:tc>
        <w:tc>
          <w:tcPr>
            <w:tcW w:w="584" w:type="dxa"/>
            <w:tcBorders>
              <w:top w:val="nil"/>
              <w:left w:val="nil"/>
              <w:bottom w:val="nil"/>
              <w:right w:val="single" w:sz="4" w:space="0" w:color="auto"/>
            </w:tcBorders>
            <w:shd w:val="clear" w:color="auto" w:fill="auto"/>
            <w:noWrap/>
            <w:vAlign w:val="center"/>
            <w:hideMark/>
          </w:tcPr>
          <w:p w14:paraId="0302A960"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22 600</w:t>
            </w:r>
          </w:p>
        </w:tc>
        <w:tc>
          <w:tcPr>
            <w:tcW w:w="585" w:type="dxa"/>
            <w:tcBorders>
              <w:top w:val="nil"/>
              <w:left w:val="nil"/>
              <w:bottom w:val="nil"/>
              <w:right w:val="single" w:sz="4" w:space="0" w:color="auto"/>
            </w:tcBorders>
            <w:shd w:val="clear" w:color="auto" w:fill="auto"/>
            <w:noWrap/>
            <w:vAlign w:val="center"/>
            <w:hideMark/>
          </w:tcPr>
          <w:p w14:paraId="18288325"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22 866</w:t>
            </w:r>
          </w:p>
        </w:tc>
        <w:tc>
          <w:tcPr>
            <w:tcW w:w="584" w:type="dxa"/>
            <w:tcBorders>
              <w:top w:val="nil"/>
              <w:left w:val="nil"/>
              <w:bottom w:val="nil"/>
              <w:right w:val="single" w:sz="4" w:space="0" w:color="auto"/>
            </w:tcBorders>
            <w:shd w:val="clear" w:color="auto" w:fill="auto"/>
            <w:noWrap/>
            <w:vAlign w:val="center"/>
            <w:hideMark/>
          </w:tcPr>
          <w:p w14:paraId="476FF42B"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23 410</w:t>
            </w:r>
          </w:p>
        </w:tc>
        <w:tc>
          <w:tcPr>
            <w:tcW w:w="584" w:type="dxa"/>
            <w:tcBorders>
              <w:top w:val="nil"/>
              <w:left w:val="nil"/>
              <w:bottom w:val="nil"/>
              <w:right w:val="single" w:sz="4" w:space="0" w:color="auto"/>
            </w:tcBorders>
            <w:shd w:val="clear" w:color="auto" w:fill="auto"/>
            <w:noWrap/>
            <w:vAlign w:val="center"/>
            <w:hideMark/>
          </w:tcPr>
          <w:p w14:paraId="1B0AB3FC"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24 121</w:t>
            </w:r>
          </w:p>
        </w:tc>
        <w:tc>
          <w:tcPr>
            <w:tcW w:w="585" w:type="dxa"/>
            <w:tcBorders>
              <w:top w:val="nil"/>
              <w:left w:val="nil"/>
              <w:bottom w:val="nil"/>
              <w:right w:val="single" w:sz="4" w:space="0" w:color="auto"/>
            </w:tcBorders>
            <w:shd w:val="clear" w:color="auto" w:fill="auto"/>
            <w:noWrap/>
            <w:vAlign w:val="center"/>
            <w:hideMark/>
          </w:tcPr>
          <w:p w14:paraId="2D128A62"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24 529</w:t>
            </w:r>
          </w:p>
        </w:tc>
        <w:tc>
          <w:tcPr>
            <w:tcW w:w="584" w:type="dxa"/>
            <w:tcBorders>
              <w:top w:val="nil"/>
              <w:left w:val="nil"/>
              <w:bottom w:val="nil"/>
              <w:right w:val="single" w:sz="4" w:space="0" w:color="auto"/>
            </w:tcBorders>
            <w:shd w:val="clear" w:color="auto" w:fill="auto"/>
            <w:noWrap/>
            <w:vAlign w:val="center"/>
            <w:hideMark/>
          </w:tcPr>
          <w:p w14:paraId="0F7E126C"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24 813</w:t>
            </w:r>
          </w:p>
        </w:tc>
        <w:tc>
          <w:tcPr>
            <w:tcW w:w="584" w:type="dxa"/>
            <w:tcBorders>
              <w:top w:val="nil"/>
              <w:left w:val="nil"/>
              <w:bottom w:val="nil"/>
              <w:right w:val="single" w:sz="4" w:space="0" w:color="auto"/>
            </w:tcBorders>
            <w:shd w:val="clear" w:color="auto" w:fill="auto"/>
            <w:noWrap/>
            <w:vAlign w:val="center"/>
            <w:hideMark/>
          </w:tcPr>
          <w:p w14:paraId="6A080D52"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25 286</w:t>
            </w:r>
          </w:p>
        </w:tc>
        <w:tc>
          <w:tcPr>
            <w:tcW w:w="585" w:type="dxa"/>
            <w:tcBorders>
              <w:top w:val="nil"/>
              <w:left w:val="nil"/>
              <w:bottom w:val="nil"/>
              <w:right w:val="single" w:sz="4" w:space="0" w:color="auto"/>
            </w:tcBorders>
            <w:shd w:val="clear" w:color="auto" w:fill="auto"/>
            <w:noWrap/>
            <w:vAlign w:val="center"/>
            <w:hideMark/>
          </w:tcPr>
          <w:p w14:paraId="51F3F44E"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25 513</w:t>
            </w:r>
          </w:p>
        </w:tc>
      </w:tr>
      <w:tr w:rsidR="00EE6FFC" w:rsidRPr="00EE6FFC" w14:paraId="32B208FA" w14:textId="77777777" w:rsidTr="00EE6FFC">
        <w:trPr>
          <w:trHeight w:val="255"/>
        </w:trPr>
        <w:tc>
          <w:tcPr>
            <w:tcW w:w="979" w:type="dxa"/>
            <w:tcBorders>
              <w:top w:val="nil"/>
              <w:left w:val="single" w:sz="4" w:space="0" w:color="auto"/>
              <w:bottom w:val="nil"/>
              <w:right w:val="single" w:sz="4" w:space="0" w:color="auto"/>
            </w:tcBorders>
            <w:shd w:val="clear" w:color="000000" w:fill="CCFFFF"/>
            <w:noWrap/>
            <w:vAlign w:val="center"/>
            <w:hideMark/>
          </w:tcPr>
          <w:p w14:paraId="6B3452D1"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Darlington</w:t>
            </w:r>
          </w:p>
        </w:tc>
        <w:tc>
          <w:tcPr>
            <w:tcW w:w="1395" w:type="dxa"/>
            <w:tcBorders>
              <w:top w:val="nil"/>
              <w:left w:val="nil"/>
              <w:bottom w:val="nil"/>
              <w:right w:val="nil"/>
            </w:tcBorders>
            <w:shd w:val="clear" w:color="000000" w:fill="CCFFFF"/>
            <w:noWrap/>
            <w:vAlign w:val="center"/>
            <w:hideMark/>
          </w:tcPr>
          <w:p w14:paraId="515A0DBE"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Producer services</w:t>
            </w:r>
          </w:p>
        </w:tc>
        <w:tc>
          <w:tcPr>
            <w:tcW w:w="584" w:type="dxa"/>
            <w:tcBorders>
              <w:top w:val="nil"/>
              <w:left w:val="single" w:sz="8" w:space="0" w:color="auto"/>
              <w:bottom w:val="nil"/>
              <w:right w:val="single" w:sz="4" w:space="0" w:color="auto"/>
            </w:tcBorders>
            <w:shd w:val="clear" w:color="auto" w:fill="auto"/>
            <w:noWrap/>
            <w:vAlign w:val="center"/>
            <w:hideMark/>
          </w:tcPr>
          <w:p w14:paraId="06CE0892"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8 836</w:t>
            </w:r>
          </w:p>
        </w:tc>
        <w:tc>
          <w:tcPr>
            <w:tcW w:w="584" w:type="dxa"/>
            <w:tcBorders>
              <w:top w:val="nil"/>
              <w:left w:val="nil"/>
              <w:bottom w:val="nil"/>
              <w:right w:val="single" w:sz="4" w:space="0" w:color="auto"/>
            </w:tcBorders>
            <w:shd w:val="clear" w:color="auto" w:fill="auto"/>
            <w:noWrap/>
            <w:vAlign w:val="center"/>
            <w:hideMark/>
          </w:tcPr>
          <w:p w14:paraId="292B74A6"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11 933</w:t>
            </w:r>
          </w:p>
        </w:tc>
        <w:tc>
          <w:tcPr>
            <w:tcW w:w="584" w:type="dxa"/>
            <w:tcBorders>
              <w:top w:val="nil"/>
              <w:left w:val="nil"/>
              <w:bottom w:val="nil"/>
              <w:right w:val="single" w:sz="4" w:space="0" w:color="auto"/>
            </w:tcBorders>
            <w:shd w:val="clear" w:color="auto" w:fill="auto"/>
            <w:noWrap/>
            <w:vAlign w:val="center"/>
            <w:hideMark/>
          </w:tcPr>
          <w:p w14:paraId="0326D335"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11 521</w:t>
            </w:r>
          </w:p>
        </w:tc>
        <w:tc>
          <w:tcPr>
            <w:tcW w:w="585" w:type="dxa"/>
            <w:tcBorders>
              <w:top w:val="nil"/>
              <w:left w:val="nil"/>
              <w:bottom w:val="nil"/>
              <w:right w:val="single" w:sz="4" w:space="0" w:color="auto"/>
            </w:tcBorders>
            <w:shd w:val="clear" w:color="auto" w:fill="auto"/>
            <w:noWrap/>
            <w:vAlign w:val="center"/>
            <w:hideMark/>
          </w:tcPr>
          <w:p w14:paraId="03815600"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11 747</w:t>
            </w:r>
          </w:p>
        </w:tc>
        <w:tc>
          <w:tcPr>
            <w:tcW w:w="584" w:type="dxa"/>
            <w:tcBorders>
              <w:top w:val="nil"/>
              <w:left w:val="nil"/>
              <w:bottom w:val="nil"/>
              <w:right w:val="single" w:sz="4" w:space="0" w:color="auto"/>
            </w:tcBorders>
            <w:shd w:val="clear" w:color="auto" w:fill="auto"/>
            <w:noWrap/>
            <w:vAlign w:val="center"/>
            <w:hideMark/>
          </w:tcPr>
          <w:p w14:paraId="3675D3B7"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12 177</w:t>
            </w:r>
          </w:p>
        </w:tc>
        <w:tc>
          <w:tcPr>
            <w:tcW w:w="584" w:type="dxa"/>
            <w:tcBorders>
              <w:top w:val="nil"/>
              <w:left w:val="nil"/>
              <w:bottom w:val="nil"/>
              <w:right w:val="single" w:sz="4" w:space="0" w:color="auto"/>
            </w:tcBorders>
            <w:shd w:val="clear" w:color="auto" w:fill="auto"/>
            <w:noWrap/>
            <w:vAlign w:val="center"/>
            <w:hideMark/>
          </w:tcPr>
          <w:p w14:paraId="1BF72C24"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12 703</w:t>
            </w:r>
          </w:p>
        </w:tc>
        <w:tc>
          <w:tcPr>
            <w:tcW w:w="585" w:type="dxa"/>
            <w:tcBorders>
              <w:top w:val="nil"/>
              <w:left w:val="nil"/>
              <w:bottom w:val="nil"/>
              <w:right w:val="single" w:sz="4" w:space="0" w:color="auto"/>
            </w:tcBorders>
            <w:shd w:val="clear" w:color="auto" w:fill="auto"/>
            <w:noWrap/>
            <w:vAlign w:val="center"/>
            <w:hideMark/>
          </w:tcPr>
          <w:p w14:paraId="64D81CFF"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13 136</w:t>
            </w:r>
          </w:p>
        </w:tc>
        <w:tc>
          <w:tcPr>
            <w:tcW w:w="584" w:type="dxa"/>
            <w:tcBorders>
              <w:top w:val="nil"/>
              <w:left w:val="nil"/>
              <w:bottom w:val="nil"/>
              <w:right w:val="single" w:sz="4" w:space="0" w:color="auto"/>
            </w:tcBorders>
            <w:shd w:val="clear" w:color="auto" w:fill="auto"/>
            <w:noWrap/>
            <w:vAlign w:val="center"/>
            <w:hideMark/>
          </w:tcPr>
          <w:p w14:paraId="33D832C8"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13 520</w:t>
            </w:r>
          </w:p>
        </w:tc>
        <w:tc>
          <w:tcPr>
            <w:tcW w:w="584" w:type="dxa"/>
            <w:tcBorders>
              <w:top w:val="nil"/>
              <w:left w:val="nil"/>
              <w:bottom w:val="nil"/>
              <w:right w:val="single" w:sz="4" w:space="0" w:color="auto"/>
            </w:tcBorders>
            <w:shd w:val="clear" w:color="auto" w:fill="auto"/>
            <w:noWrap/>
            <w:vAlign w:val="center"/>
            <w:hideMark/>
          </w:tcPr>
          <w:p w14:paraId="7158CA47"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14 030</w:t>
            </w:r>
          </w:p>
        </w:tc>
        <w:tc>
          <w:tcPr>
            <w:tcW w:w="585" w:type="dxa"/>
            <w:tcBorders>
              <w:top w:val="nil"/>
              <w:left w:val="nil"/>
              <w:bottom w:val="nil"/>
              <w:right w:val="single" w:sz="4" w:space="0" w:color="auto"/>
            </w:tcBorders>
            <w:shd w:val="clear" w:color="auto" w:fill="auto"/>
            <w:noWrap/>
            <w:vAlign w:val="center"/>
            <w:hideMark/>
          </w:tcPr>
          <w:p w14:paraId="7654EA6B"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14 291</w:t>
            </w:r>
          </w:p>
        </w:tc>
      </w:tr>
      <w:tr w:rsidR="00EE6FFC" w:rsidRPr="00EE6FFC" w14:paraId="01DDC68B" w14:textId="77777777" w:rsidTr="00EE6FFC">
        <w:trPr>
          <w:trHeight w:val="255"/>
        </w:trPr>
        <w:tc>
          <w:tcPr>
            <w:tcW w:w="979" w:type="dxa"/>
            <w:tcBorders>
              <w:top w:val="nil"/>
              <w:left w:val="single" w:sz="4" w:space="0" w:color="auto"/>
              <w:bottom w:val="nil"/>
              <w:right w:val="single" w:sz="4" w:space="0" w:color="auto"/>
            </w:tcBorders>
            <w:shd w:val="clear" w:color="000000" w:fill="CCFFFF"/>
            <w:noWrap/>
            <w:vAlign w:val="center"/>
            <w:hideMark/>
          </w:tcPr>
          <w:p w14:paraId="284890BA"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Hartlepool</w:t>
            </w:r>
          </w:p>
        </w:tc>
        <w:tc>
          <w:tcPr>
            <w:tcW w:w="1395" w:type="dxa"/>
            <w:tcBorders>
              <w:top w:val="nil"/>
              <w:left w:val="nil"/>
              <w:bottom w:val="nil"/>
              <w:right w:val="nil"/>
            </w:tcBorders>
            <w:shd w:val="clear" w:color="000000" w:fill="CCFFFF"/>
            <w:noWrap/>
            <w:vAlign w:val="center"/>
            <w:hideMark/>
          </w:tcPr>
          <w:p w14:paraId="02E4EF57"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Manufacturing</w:t>
            </w:r>
          </w:p>
        </w:tc>
        <w:tc>
          <w:tcPr>
            <w:tcW w:w="584" w:type="dxa"/>
            <w:tcBorders>
              <w:top w:val="nil"/>
              <w:left w:val="single" w:sz="8" w:space="0" w:color="auto"/>
              <w:bottom w:val="nil"/>
              <w:right w:val="single" w:sz="4" w:space="0" w:color="auto"/>
            </w:tcBorders>
            <w:shd w:val="clear" w:color="auto" w:fill="auto"/>
            <w:noWrap/>
            <w:vAlign w:val="center"/>
            <w:hideMark/>
          </w:tcPr>
          <w:p w14:paraId="23BE7FD3"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4 918</w:t>
            </w:r>
          </w:p>
        </w:tc>
        <w:tc>
          <w:tcPr>
            <w:tcW w:w="584" w:type="dxa"/>
            <w:tcBorders>
              <w:top w:val="nil"/>
              <w:left w:val="nil"/>
              <w:bottom w:val="nil"/>
              <w:right w:val="single" w:sz="4" w:space="0" w:color="auto"/>
            </w:tcBorders>
            <w:shd w:val="clear" w:color="auto" w:fill="auto"/>
            <w:noWrap/>
            <w:vAlign w:val="center"/>
            <w:hideMark/>
          </w:tcPr>
          <w:p w14:paraId="5E3A835E"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4 991</w:t>
            </w:r>
          </w:p>
        </w:tc>
        <w:tc>
          <w:tcPr>
            <w:tcW w:w="584" w:type="dxa"/>
            <w:tcBorders>
              <w:top w:val="nil"/>
              <w:left w:val="nil"/>
              <w:bottom w:val="nil"/>
              <w:right w:val="single" w:sz="4" w:space="0" w:color="auto"/>
            </w:tcBorders>
            <w:shd w:val="clear" w:color="auto" w:fill="auto"/>
            <w:noWrap/>
            <w:vAlign w:val="center"/>
            <w:hideMark/>
          </w:tcPr>
          <w:p w14:paraId="05CE8318"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5 465</w:t>
            </w:r>
          </w:p>
        </w:tc>
        <w:tc>
          <w:tcPr>
            <w:tcW w:w="585" w:type="dxa"/>
            <w:tcBorders>
              <w:top w:val="nil"/>
              <w:left w:val="nil"/>
              <w:bottom w:val="nil"/>
              <w:right w:val="single" w:sz="4" w:space="0" w:color="auto"/>
            </w:tcBorders>
            <w:shd w:val="clear" w:color="auto" w:fill="auto"/>
            <w:noWrap/>
            <w:vAlign w:val="center"/>
            <w:hideMark/>
          </w:tcPr>
          <w:p w14:paraId="5E87F04E"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5 292</w:t>
            </w:r>
          </w:p>
        </w:tc>
        <w:tc>
          <w:tcPr>
            <w:tcW w:w="584" w:type="dxa"/>
            <w:tcBorders>
              <w:top w:val="nil"/>
              <w:left w:val="nil"/>
              <w:bottom w:val="nil"/>
              <w:right w:val="single" w:sz="4" w:space="0" w:color="auto"/>
            </w:tcBorders>
            <w:shd w:val="clear" w:color="auto" w:fill="auto"/>
            <w:noWrap/>
            <w:vAlign w:val="center"/>
            <w:hideMark/>
          </w:tcPr>
          <w:p w14:paraId="3FB23BFF"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4 899</w:t>
            </w:r>
          </w:p>
        </w:tc>
        <w:tc>
          <w:tcPr>
            <w:tcW w:w="584" w:type="dxa"/>
            <w:tcBorders>
              <w:top w:val="nil"/>
              <w:left w:val="nil"/>
              <w:bottom w:val="nil"/>
              <w:right w:val="single" w:sz="4" w:space="0" w:color="auto"/>
            </w:tcBorders>
            <w:shd w:val="clear" w:color="auto" w:fill="auto"/>
            <w:noWrap/>
            <w:vAlign w:val="center"/>
            <w:hideMark/>
          </w:tcPr>
          <w:p w14:paraId="30E12218"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4 522</w:t>
            </w:r>
          </w:p>
        </w:tc>
        <w:tc>
          <w:tcPr>
            <w:tcW w:w="585" w:type="dxa"/>
            <w:tcBorders>
              <w:top w:val="nil"/>
              <w:left w:val="nil"/>
              <w:bottom w:val="nil"/>
              <w:right w:val="single" w:sz="4" w:space="0" w:color="auto"/>
            </w:tcBorders>
            <w:shd w:val="clear" w:color="auto" w:fill="auto"/>
            <w:noWrap/>
            <w:vAlign w:val="center"/>
            <w:hideMark/>
          </w:tcPr>
          <w:p w14:paraId="53DA3328"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4 138</w:t>
            </w:r>
          </w:p>
        </w:tc>
        <w:tc>
          <w:tcPr>
            <w:tcW w:w="584" w:type="dxa"/>
            <w:tcBorders>
              <w:top w:val="nil"/>
              <w:left w:val="nil"/>
              <w:bottom w:val="nil"/>
              <w:right w:val="single" w:sz="4" w:space="0" w:color="auto"/>
            </w:tcBorders>
            <w:shd w:val="clear" w:color="auto" w:fill="auto"/>
            <w:noWrap/>
            <w:vAlign w:val="center"/>
            <w:hideMark/>
          </w:tcPr>
          <w:p w14:paraId="3B15ED7E"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3 815</w:t>
            </w:r>
          </w:p>
        </w:tc>
        <w:tc>
          <w:tcPr>
            <w:tcW w:w="584" w:type="dxa"/>
            <w:tcBorders>
              <w:top w:val="nil"/>
              <w:left w:val="nil"/>
              <w:bottom w:val="nil"/>
              <w:right w:val="single" w:sz="4" w:space="0" w:color="auto"/>
            </w:tcBorders>
            <w:shd w:val="clear" w:color="auto" w:fill="auto"/>
            <w:noWrap/>
            <w:vAlign w:val="center"/>
            <w:hideMark/>
          </w:tcPr>
          <w:p w14:paraId="0ED7882A"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3 585</w:t>
            </w:r>
          </w:p>
        </w:tc>
        <w:tc>
          <w:tcPr>
            <w:tcW w:w="585" w:type="dxa"/>
            <w:tcBorders>
              <w:top w:val="nil"/>
              <w:left w:val="nil"/>
              <w:bottom w:val="nil"/>
              <w:right w:val="single" w:sz="4" w:space="0" w:color="auto"/>
            </w:tcBorders>
            <w:shd w:val="clear" w:color="auto" w:fill="auto"/>
            <w:noWrap/>
            <w:vAlign w:val="center"/>
            <w:hideMark/>
          </w:tcPr>
          <w:p w14:paraId="7D8F69E1"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3 489</w:t>
            </w:r>
          </w:p>
        </w:tc>
      </w:tr>
      <w:tr w:rsidR="00EE6FFC" w:rsidRPr="00EE6FFC" w14:paraId="6E545760" w14:textId="77777777" w:rsidTr="00EE6FFC">
        <w:trPr>
          <w:trHeight w:val="255"/>
        </w:trPr>
        <w:tc>
          <w:tcPr>
            <w:tcW w:w="979" w:type="dxa"/>
            <w:tcBorders>
              <w:top w:val="nil"/>
              <w:left w:val="single" w:sz="4" w:space="0" w:color="auto"/>
              <w:bottom w:val="nil"/>
              <w:right w:val="single" w:sz="4" w:space="0" w:color="auto"/>
            </w:tcBorders>
            <w:shd w:val="clear" w:color="000000" w:fill="CCFFFF"/>
            <w:noWrap/>
            <w:vAlign w:val="center"/>
            <w:hideMark/>
          </w:tcPr>
          <w:p w14:paraId="59B645CA"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Hartlepool</w:t>
            </w:r>
          </w:p>
        </w:tc>
        <w:tc>
          <w:tcPr>
            <w:tcW w:w="1395" w:type="dxa"/>
            <w:tcBorders>
              <w:top w:val="nil"/>
              <w:left w:val="nil"/>
              <w:bottom w:val="nil"/>
              <w:right w:val="nil"/>
            </w:tcBorders>
            <w:shd w:val="clear" w:color="000000" w:fill="CCFFFF"/>
            <w:noWrap/>
            <w:vAlign w:val="center"/>
            <w:hideMark/>
          </w:tcPr>
          <w:p w14:paraId="40A03EAF"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Construction</w:t>
            </w:r>
          </w:p>
        </w:tc>
        <w:tc>
          <w:tcPr>
            <w:tcW w:w="584" w:type="dxa"/>
            <w:tcBorders>
              <w:top w:val="nil"/>
              <w:left w:val="single" w:sz="8" w:space="0" w:color="auto"/>
              <w:bottom w:val="nil"/>
              <w:right w:val="single" w:sz="4" w:space="0" w:color="auto"/>
            </w:tcBorders>
            <w:shd w:val="clear" w:color="auto" w:fill="auto"/>
            <w:noWrap/>
            <w:vAlign w:val="center"/>
            <w:hideMark/>
          </w:tcPr>
          <w:p w14:paraId="5E91936B"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2 594</w:t>
            </w:r>
          </w:p>
        </w:tc>
        <w:tc>
          <w:tcPr>
            <w:tcW w:w="584" w:type="dxa"/>
            <w:tcBorders>
              <w:top w:val="nil"/>
              <w:left w:val="nil"/>
              <w:bottom w:val="nil"/>
              <w:right w:val="single" w:sz="4" w:space="0" w:color="auto"/>
            </w:tcBorders>
            <w:shd w:val="clear" w:color="auto" w:fill="auto"/>
            <w:noWrap/>
            <w:vAlign w:val="center"/>
            <w:hideMark/>
          </w:tcPr>
          <w:p w14:paraId="11D15387"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2 422</w:t>
            </w:r>
          </w:p>
        </w:tc>
        <w:tc>
          <w:tcPr>
            <w:tcW w:w="584" w:type="dxa"/>
            <w:tcBorders>
              <w:top w:val="nil"/>
              <w:left w:val="nil"/>
              <w:bottom w:val="nil"/>
              <w:right w:val="single" w:sz="4" w:space="0" w:color="auto"/>
            </w:tcBorders>
            <w:shd w:val="clear" w:color="auto" w:fill="auto"/>
            <w:noWrap/>
            <w:vAlign w:val="center"/>
            <w:hideMark/>
          </w:tcPr>
          <w:p w14:paraId="267E2BD9"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2 405</w:t>
            </w:r>
          </w:p>
        </w:tc>
        <w:tc>
          <w:tcPr>
            <w:tcW w:w="585" w:type="dxa"/>
            <w:tcBorders>
              <w:top w:val="nil"/>
              <w:left w:val="nil"/>
              <w:bottom w:val="nil"/>
              <w:right w:val="single" w:sz="4" w:space="0" w:color="auto"/>
            </w:tcBorders>
            <w:shd w:val="clear" w:color="auto" w:fill="auto"/>
            <w:noWrap/>
            <w:vAlign w:val="center"/>
            <w:hideMark/>
          </w:tcPr>
          <w:p w14:paraId="5164FA73"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2 436</w:t>
            </w:r>
          </w:p>
        </w:tc>
        <w:tc>
          <w:tcPr>
            <w:tcW w:w="584" w:type="dxa"/>
            <w:tcBorders>
              <w:top w:val="nil"/>
              <w:left w:val="nil"/>
              <w:bottom w:val="nil"/>
              <w:right w:val="single" w:sz="4" w:space="0" w:color="auto"/>
            </w:tcBorders>
            <w:shd w:val="clear" w:color="auto" w:fill="auto"/>
            <w:noWrap/>
            <w:vAlign w:val="center"/>
            <w:hideMark/>
          </w:tcPr>
          <w:p w14:paraId="66E7EB9F"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2 478</w:t>
            </w:r>
          </w:p>
        </w:tc>
        <w:tc>
          <w:tcPr>
            <w:tcW w:w="584" w:type="dxa"/>
            <w:tcBorders>
              <w:top w:val="nil"/>
              <w:left w:val="nil"/>
              <w:bottom w:val="nil"/>
              <w:right w:val="single" w:sz="4" w:space="0" w:color="auto"/>
            </w:tcBorders>
            <w:shd w:val="clear" w:color="auto" w:fill="auto"/>
            <w:noWrap/>
            <w:vAlign w:val="center"/>
            <w:hideMark/>
          </w:tcPr>
          <w:p w14:paraId="44536F41"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2 523</w:t>
            </w:r>
          </w:p>
        </w:tc>
        <w:tc>
          <w:tcPr>
            <w:tcW w:w="585" w:type="dxa"/>
            <w:tcBorders>
              <w:top w:val="nil"/>
              <w:left w:val="nil"/>
              <w:bottom w:val="nil"/>
              <w:right w:val="single" w:sz="4" w:space="0" w:color="auto"/>
            </w:tcBorders>
            <w:shd w:val="clear" w:color="auto" w:fill="auto"/>
            <w:noWrap/>
            <w:vAlign w:val="center"/>
            <w:hideMark/>
          </w:tcPr>
          <w:p w14:paraId="5AAB4766"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2 543</w:t>
            </w:r>
          </w:p>
        </w:tc>
        <w:tc>
          <w:tcPr>
            <w:tcW w:w="584" w:type="dxa"/>
            <w:tcBorders>
              <w:top w:val="nil"/>
              <w:left w:val="nil"/>
              <w:bottom w:val="nil"/>
              <w:right w:val="single" w:sz="4" w:space="0" w:color="auto"/>
            </w:tcBorders>
            <w:shd w:val="clear" w:color="auto" w:fill="auto"/>
            <w:noWrap/>
            <w:vAlign w:val="center"/>
            <w:hideMark/>
          </w:tcPr>
          <w:p w14:paraId="41C8D44A"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2 540</w:t>
            </w:r>
          </w:p>
        </w:tc>
        <w:tc>
          <w:tcPr>
            <w:tcW w:w="584" w:type="dxa"/>
            <w:tcBorders>
              <w:top w:val="nil"/>
              <w:left w:val="nil"/>
              <w:bottom w:val="nil"/>
              <w:right w:val="single" w:sz="4" w:space="0" w:color="auto"/>
            </w:tcBorders>
            <w:shd w:val="clear" w:color="auto" w:fill="auto"/>
            <w:noWrap/>
            <w:vAlign w:val="center"/>
            <w:hideMark/>
          </w:tcPr>
          <w:p w14:paraId="1859A71F"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2 547</w:t>
            </w:r>
          </w:p>
        </w:tc>
        <w:tc>
          <w:tcPr>
            <w:tcW w:w="585" w:type="dxa"/>
            <w:tcBorders>
              <w:top w:val="nil"/>
              <w:left w:val="nil"/>
              <w:bottom w:val="nil"/>
              <w:right w:val="single" w:sz="4" w:space="0" w:color="auto"/>
            </w:tcBorders>
            <w:shd w:val="clear" w:color="auto" w:fill="auto"/>
            <w:noWrap/>
            <w:vAlign w:val="center"/>
            <w:hideMark/>
          </w:tcPr>
          <w:p w14:paraId="426D1891"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2 547</w:t>
            </w:r>
          </w:p>
        </w:tc>
      </w:tr>
      <w:tr w:rsidR="00EE6FFC" w:rsidRPr="00EE6FFC" w14:paraId="500C25DF" w14:textId="77777777" w:rsidTr="00EE6FFC">
        <w:trPr>
          <w:trHeight w:val="255"/>
        </w:trPr>
        <w:tc>
          <w:tcPr>
            <w:tcW w:w="979" w:type="dxa"/>
            <w:tcBorders>
              <w:top w:val="nil"/>
              <w:left w:val="single" w:sz="4" w:space="0" w:color="auto"/>
              <w:bottom w:val="nil"/>
              <w:right w:val="single" w:sz="4" w:space="0" w:color="auto"/>
            </w:tcBorders>
            <w:shd w:val="clear" w:color="000000" w:fill="CCFFFF"/>
            <w:noWrap/>
            <w:vAlign w:val="center"/>
            <w:hideMark/>
          </w:tcPr>
          <w:p w14:paraId="52E00EBC"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Hartlepool</w:t>
            </w:r>
          </w:p>
        </w:tc>
        <w:tc>
          <w:tcPr>
            <w:tcW w:w="1395" w:type="dxa"/>
            <w:tcBorders>
              <w:top w:val="nil"/>
              <w:left w:val="nil"/>
              <w:bottom w:val="nil"/>
              <w:right w:val="nil"/>
            </w:tcBorders>
            <w:shd w:val="clear" w:color="000000" w:fill="CCFFFF"/>
            <w:noWrap/>
            <w:vAlign w:val="center"/>
            <w:hideMark/>
          </w:tcPr>
          <w:p w14:paraId="78A22772"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Consumer services</w:t>
            </w:r>
          </w:p>
        </w:tc>
        <w:tc>
          <w:tcPr>
            <w:tcW w:w="584" w:type="dxa"/>
            <w:tcBorders>
              <w:top w:val="nil"/>
              <w:left w:val="single" w:sz="8" w:space="0" w:color="auto"/>
              <w:bottom w:val="nil"/>
              <w:right w:val="single" w:sz="4" w:space="0" w:color="auto"/>
            </w:tcBorders>
            <w:shd w:val="clear" w:color="auto" w:fill="auto"/>
            <w:noWrap/>
            <w:vAlign w:val="center"/>
            <w:hideMark/>
          </w:tcPr>
          <w:p w14:paraId="7FD048DB"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12 282</w:t>
            </w:r>
          </w:p>
        </w:tc>
        <w:tc>
          <w:tcPr>
            <w:tcW w:w="584" w:type="dxa"/>
            <w:tcBorders>
              <w:top w:val="nil"/>
              <w:left w:val="nil"/>
              <w:bottom w:val="nil"/>
              <w:right w:val="single" w:sz="4" w:space="0" w:color="auto"/>
            </w:tcBorders>
            <w:shd w:val="clear" w:color="auto" w:fill="auto"/>
            <w:noWrap/>
            <w:vAlign w:val="center"/>
            <w:hideMark/>
          </w:tcPr>
          <w:p w14:paraId="7487F0EB"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13 659</w:t>
            </w:r>
          </w:p>
        </w:tc>
        <w:tc>
          <w:tcPr>
            <w:tcW w:w="584" w:type="dxa"/>
            <w:tcBorders>
              <w:top w:val="nil"/>
              <w:left w:val="nil"/>
              <w:bottom w:val="nil"/>
              <w:right w:val="single" w:sz="4" w:space="0" w:color="auto"/>
            </w:tcBorders>
            <w:shd w:val="clear" w:color="auto" w:fill="auto"/>
            <w:noWrap/>
            <w:vAlign w:val="center"/>
            <w:hideMark/>
          </w:tcPr>
          <w:p w14:paraId="1E324ED9"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13 716</w:t>
            </w:r>
          </w:p>
        </w:tc>
        <w:tc>
          <w:tcPr>
            <w:tcW w:w="585" w:type="dxa"/>
            <w:tcBorders>
              <w:top w:val="nil"/>
              <w:left w:val="nil"/>
              <w:bottom w:val="nil"/>
              <w:right w:val="single" w:sz="4" w:space="0" w:color="auto"/>
            </w:tcBorders>
            <w:shd w:val="clear" w:color="auto" w:fill="auto"/>
            <w:noWrap/>
            <w:vAlign w:val="center"/>
            <w:hideMark/>
          </w:tcPr>
          <w:p w14:paraId="0B07AED5"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13 892</w:t>
            </w:r>
          </w:p>
        </w:tc>
        <w:tc>
          <w:tcPr>
            <w:tcW w:w="584" w:type="dxa"/>
            <w:tcBorders>
              <w:top w:val="nil"/>
              <w:left w:val="nil"/>
              <w:bottom w:val="nil"/>
              <w:right w:val="single" w:sz="4" w:space="0" w:color="auto"/>
            </w:tcBorders>
            <w:shd w:val="clear" w:color="auto" w:fill="auto"/>
            <w:noWrap/>
            <w:vAlign w:val="center"/>
            <w:hideMark/>
          </w:tcPr>
          <w:p w14:paraId="3E242073"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14 352</w:t>
            </w:r>
          </w:p>
        </w:tc>
        <w:tc>
          <w:tcPr>
            <w:tcW w:w="584" w:type="dxa"/>
            <w:tcBorders>
              <w:top w:val="nil"/>
              <w:left w:val="nil"/>
              <w:bottom w:val="nil"/>
              <w:right w:val="single" w:sz="4" w:space="0" w:color="auto"/>
            </w:tcBorders>
            <w:shd w:val="clear" w:color="auto" w:fill="auto"/>
            <w:noWrap/>
            <w:vAlign w:val="center"/>
            <w:hideMark/>
          </w:tcPr>
          <w:p w14:paraId="41CE6457"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14 987</w:t>
            </w:r>
          </w:p>
        </w:tc>
        <w:tc>
          <w:tcPr>
            <w:tcW w:w="585" w:type="dxa"/>
            <w:tcBorders>
              <w:top w:val="nil"/>
              <w:left w:val="nil"/>
              <w:bottom w:val="nil"/>
              <w:right w:val="single" w:sz="4" w:space="0" w:color="auto"/>
            </w:tcBorders>
            <w:shd w:val="clear" w:color="auto" w:fill="auto"/>
            <w:noWrap/>
            <w:vAlign w:val="center"/>
            <w:hideMark/>
          </w:tcPr>
          <w:p w14:paraId="6F68E0FE"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15 448</w:t>
            </w:r>
          </w:p>
        </w:tc>
        <w:tc>
          <w:tcPr>
            <w:tcW w:w="584" w:type="dxa"/>
            <w:tcBorders>
              <w:top w:val="nil"/>
              <w:left w:val="nil"/>
              <w:bottom w:val="nil"/>
              <w:right w:val="single" w:sz="4" w:space="0" w:color="auto"/>
            </w:tcBorders>
            <w:shd w:val="clear" w:color="auto" w:fill="auto"/>
            <w:noWrap/>
            <w:vAlign w:val="center"/>
            <w:hideMark/>
          </w:tcPr>
          <w:p w14:paraId="15D28085"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15 813</w:t>
            </w:r>
          </w:p>
        </w:tc>
        <w:tc>
          <w:tcPr>
            <w:tcW w:w="584" w:type="dxa"/>
            <w:tcBorders>
              <w:top w:val="nil"/>
              <w:left w:val="nil"/>
              <w:bottom w:val="nil"/>
              <w:right w:val="single" w:sz="4" w:space="0" w:color="auto"/>
            </w:tcBorders>
            <w:shd w:val="clear" w:color="auto" w:fill="auto"/>
            <w:noWrap/>
            <w:vAlign w:val="center"/>
            <w:hideMark/>
          </w:tcPr>
          <w:p w14:paraId="58535EAF"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16 274</w:t>
            </w:r>
          </w:p>
        </w:tc>
        <w:tc>
          <w:tcPr>
            <w:tcW w:w="585" w:type="dxa"/>
            <w:tcBorders>
              <w:top w:val="nil"/>
              <w:left w:val="nil"/>
              <w:bottom w:val="nil"/>
              <w:right w:val="single" w:sz="4" w:space="0" w:color="auto"/>
            </w:tcBorders>
            <w:shd w:val="clear" w:color="auto" w:fill="auto"/>
            <w:noWrap/>
            <w:vAlign w:val="center"/>
            <w:hideMark/>
          </w:tcPr>
          <w:p w14:paraId="11644DDF"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16 489</w:t>
            </w:r>
          </w:p>
        </w:tc>
      </w:tr>
      <w:tr w:rsidR="00EE6FFC" w:rsidRPr="00EE6FFC" w14:paraId="35BEE48D" w14:textId="77777777" w:rsidTr="00EE6FFC">
        <w:trPr>
          <w:trHeight w:val="255"/>
        </w:trPr>
        <w:tc>
          <w:tcPr>
            <w:tcW w:w="979" w:type="dxa"/>
            <w:tcBorders>
              <w:top w:val="nil"/>
              <w:left w:val="single" w:sz="4" w:space="0" w:color="auto"/>
              <w:bottom w:val="single" w:sz="4" w:space="0" w:color="auto"/>
              <w:right w:val="single" w:sz="4" w:space="0" w:color="auto"/>
            </w:tcBorders>
            <w:shd w:val="clear" w:color="000000" w:fill="CCFFFF"/>
            <w:noWrap/>
            <w:vAlign w:val="center"/>
            <w:hideMark/>
          </w:tcPr>
          <w:p w14:paraId="48BCB207"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Hartlepool</w:t>
            </w:r>
          </w:p>
        </w:tc>
        <w:tc>
          <w:tcPr>
            <w:tcW w:w="1395" w:type="dxa"/>
            <w:tcBorders>
              <w:top w:val="nil"/>
              <w:left w:val="nil"/>
              <w:bottom w:val="single" w:sz="4" w:space="0" w:color="auto"/>
              <w:right w:val="nil"/>
            </w:tcBorders>
            <w:shd w:val="clear" w:color="000000" w:fill="CCFFFF"/>
            <w:noWrap/>
            <w:vAlign w:val="center"/>
            <w:hideMark/>
          </w:tcPr>
          <w:p w14:paraId="0A06800D"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Producer services</w:t>
            </w:r>
          </w:p>
        </w:tc>
        <w:tc>
          <w:tcPr>
            <w:tcW w:w="584" w:type="dxa"/>
            <w:tcBorders>
              <w:top w:val="nil"/>
              <w:left w:val="single" w:sz="8" w:space="0" w:color="auto"/>
              <w:bottom w:val="single" w:sz="4" w:space="0" w:color="auto"/>
              <w:right w:val="single" w:sz="4" w:space="0" w:color="auto"/>
            </w:tcBorders>
            <w:shd w:val="clear" w:color="auto" w:fill="auto"/>
            <w:noWrap/>
            <w:vAlign w:val="center"/>
            <w:hideMark/>
          </w:tcPr>
          <w:p w14:paraId="366B2D78"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3 461</w:t>
            </w:r>
          </w:p>
        </w:tc>
        <w:tc>
          <w:tcPr>
            <w:tcW w:w="584" w:type="dxa"/>
            <w:tcBorders>
              <w:top w:val="nil"/>
              <w:left w:val="nil"/>
              <w:bottom w:val="single" w:sz="4" w:space="0" w:color="auto"/>
              <w:right w:val="single" w:sz="4" w:space="0" w:color="auto"/>
            </w:tcBorders>
            <w:shd w:val="clear" w:color="auto" w:fill="auto"/>
            <w:noWrap/>
            <w:vAlign w:val="center"/>
            <w:hideMark/>
          </w:tcPr>
          <w:p w14:paraId="48BC17A8"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4 292</w:t>
            </w:r>
          </w:p>
        </w:tc>
        <w:tc>
          <w:tcPr>
            <w:tcW w:w="584" w:type="dxa"/>
            <w:tcBorders>
              <w:top w:val="nil"/>
              <w:left w:val="nil"/>
              <w:bottom w:val="single" w:sz="4" w:space="0" w:color="auto"/>
              <w:right w:val="single" w:sz="4" w:space="0" w:color="auto"/>
            </w:tcBorders>
            <w:shd w:val="clear" w:color="auto" w:fill="auto"/>
            <w:noWrap/>
            <w:vAlign w:val="center"/>
            <w:hideMark/>
          </w:tcPr>
          <w:p w14:paraId="72E4514F"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3 967</w:t>
            </w:r>
          </w:p>
        </w:tc>
        <w:tc>
          <w:tcPr>
            <w:tcW w:w="585" w:type="dxa"/>
            <w:tcBorders>
              <w:top w:val="nil"/>
              <w:left w:val="nil"/>
              <w:bottom w:val="single" w:sz="4" w:space="0" w:color="auto"/>
              <w:right w:val="single" w:sz="4" w:space="0" w:color="auto"/>
            </w:tcBorders>
            <w:shd w:val="clear" w:color="auto" w:fill="auto"/>
            <w:noWrap/>
            <w:vAlign w:val="center"/>
            <w:hideMark/>
          </w:tcPr>
          <w:p w14:paraId="3C103644"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4 075</w:t>
            </w:r>
          </w:p>
        </w:tc>
        <w:tc>
          <w:tcPr>
            <w:tcW w:w="584" w:type="dxa"/>
            <w:tcBorders>
              <w:top w:val="nil"/>
              <w:left w:val="nil"/>
              <w:bottom w:val="single" w:sz="4" w:space="0" w:color="auto"/>
              <w:right w:val="single" w:sz="4" w:space="0" w:color="auto"/>
            </w:tcBorders>
            <w:shd w:val="clear" w:color="auto" w:fill="auto"/>
            <w:noWrap/>
            <w:vAlign w:val="center"/>
            <w:hideMark/>
          </w:tcPr>
          <w:p w14:paraId="47080004"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4 320</w:t>
            </w:r>
          </w:p>
        </w:tc>
        <w:tc>
          <w:tcPr>
            <w:tcW w:w="584" w:type="dxa"/>
            <w:tcBorders>
              <w:top w:val="nil"/>
              <w:left w:val="nil"/>
              <w:bottom w:val="single" w:sz="4" w:space="0" w:color="auto"/>
              <w:right w:val="single" w:sz="4" w:space="0" w:color="auto"/>
            </w:tcBorders>
            <w:shd w:val="clear" w:color="auto" w:fill="auto"/>
            <w:noWrap/>
            <w:vAlign w:val="center"/>
            <w:hideMark/>
          </w:tcPr>
          <w:p w14:paraId="1A40E256"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4 635</w:t>
            </w:r>
          </w:p>
        </w:tc>
        <w:tc>
          <w:tcPr>
            <w:tcW w:w="585" w:type="dxa"/>
            <w:tcBorders>
              <w:top w:val="nil"/>
              <w:left w:val="nil"/>
              <w:bottom w:val="single" w:sz="4" w:space="0" w:color="auto"/>
              <w:right w:val="single" w:sz="4" w:space="0" w:color="auto"/>
            </w:tcBorders>
            <w:shd w:val="clear" w:color="auto" w:fill="auto"/>
            <w:noWrap/>
            <w:vAlign w:val="center"/>
            <w:hideMark/>
          </w:tcPr>
          <w:p w14:paraId="633E0099"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4 957</w:t>
            </w:r>
          </w:p>
        </w:tc>
        <w:tc>
          <w:tcPr>
            <w:tcW w:w="584" w:type="dxa"/>
            <w:tcBorders>
              <w:top w:val="nil"/>
              <w:left w:val="nil"/>
              <w:bottom w:val="single" w:sz="4" w:space="0" w:color="auto"/>
              <w:right w:val="single" w:sz="4" w:space="0" w:color="auto"/>
            </w:tcBorders>
            <w:shd w:val="clear" w:color="auto" w:fill="auto"/>
            <w:noWrap/>
            <w:vAlign w:val="center"/>
            <w:hideMark/>
          </w:tcPr>
          <w:p w14:paraId="7AE3AE6B"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5 300</w:t>
            </w:r>
          </w:p>
        </w:tc>
        <w:tc>
          <w:tcPr>
            <w:tcW w:w="584" w:type="dxa"/>
            <w:tcBorders>
              <w:top w:val="nil"/>
              <w:left w:val="nil"/>
              <w:bottom w:val="single" w:sz="4" w:space="0" w:color="auto"/>
              <w:right w:val="single" w:sz="4" w:space="0" w:color="auto"/>
            </w:tcBorders>
            <w:shd w:val="clear" w:color="auto" w:fill="auto"/>
            <w:noWrap/>
            <w:vAlign w:val="center"/>
            <w:hideMark/>
          </w:tcPr>
          <w:p w14:paraId="2745EF04"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5 745</w:t>
            </w:r>
          </w:p>
        </w:tc>
        <w:tc>
          <w:tcPr>
            <w:tcW w:w="585" w:type="dxa"/>
            <w:tcBorders>
              <w:top w:val="nil"/>
              <w:left w:val="nil"/>
              <w:bottom w:val="single" w:sz="4" w:space="0" w:color="auto"/>
              <w:right w:val="single" w:sz="4" w:space="0" w:color="auto"/>
            </w:tcBorders>
            <w:shd w:val="clear" w:color="auto" w:fill="auto"/>
            <w:noWrap/>
            <w:vAlign w:val="center"/>
            <w:hideMark/>
          </w:tcPr>
          <w:p w14:paraId="40EF41DF"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5 994</w:t>
            </w:r>
          </w:p>
        </w:tc>
      </w:tr>
    </w:tbl>
    <w:p w14:paraId="16A48F7D" w14:textId="7BBDC919" w:rsidR="0001774B" w:rsidRPr="00B443DA" w:rsidRDefault="0001774B" w:rsidP="0001774B">
      <w:pPr>
        <w:autoSpaceDE w:val="0"/>
        <w:autoSpaceDN w:val="0"/>
        <w:adjustRightInd w:val="0"/>
        <w:spacing w:line="260" w:lineRule="atLeast"/>
        <w:textAlignment w:val="center"/>
        <w:rPr>
          <w:rFonts w:cs="Arial"/>
          <w:lang w:eastAsia="fi-FI"/>
        </w:rPr>
      </w:pPr>
    </w:p>
    <w:p w14:paraId="189AB1C6" w14:textId="48435545" w:rsidR="0001774B" w:rsidRPr="003806D8" w:rsidRDefault="0001774B" w:rsidP="003806D8">
      <w:pPr>
        <w:pStyle w:val="BodyText"/>
        <w:rPr>
          <w:lang w:eastAsia="fi-FI"/>
        </w:rPr>
      </w:pPr>
      <w:r w:rsidRPr="00B443DA">
        <w:rPr>
          <w:lang w:eastAsia="fi-FI"/>
        </w:rPr>
        <w:t xml:space="preserve">Tehokkaan tiheyden muutoksesta seuraava tuottavuuden muutos määritetään toimialakohtaisten joustojen avulla. Absoluuttiset muutokset tuottavuudessa lasketaan kertomalla tuottavuuden suhteellinen muutos osa-alueen tuotannon arvolla. </w:t>
      </w:r>
    </w:p>
    <w:p w14:paraId="01A2B6E6" w14:textId="77777777" w:rsidR="0001774B" w:rsidRPr="00B443DA" w:rsidRDefault="0040610B" w:rsidP="0001774B">
      <w:pPr>
        <w:pStyle w:val="ListParagraph"/>
        <w:numPr>
          <w:ilvl w:val="0"/>
          <w:numId w:val="11"/>
        </w:numPr>
        <w:autoSpaceDE w:val="0"/>
        <w:autoSpaceDN w:val="0"/>
        <w:adjustRightInd w:val="0"/>
        <w:spacing w:line="260" w:lineRule="atLeast"/>
        <w:ind w:left="2211" w:hanging="907"/>
        <w:contextualSpacing w:val="0"/>
        <w:jc w:val="left"/>
        <w:textAlignment w:val="center"/>
        <w:rPr>
          <w:rFonts w:ascii="Felbridge Pro" w:hAnsi="Felbridge Pro" w:cs="Arial"/>
        </w:rPr>
      </w:pPr>
      <m:oMath>
        <m:sSup>
          <m:sSupPr>
            <m:ctrlPr>
              <w:rPr>
                <w:rFonts w:ascii="Cambria Math" w:hAnsi="Cambria Math" w:cs="Arial"/>
                <w:i/>
              </w:rPr>
            </m:ctrlPr>
          </m:sSupPr>
          <m:e>
            <m:r>
              <w:rPr>
                <w:rFonts w:ascii="Cambria Math" w:hAnsi="Cambria Math" w:cs="Arial"/>
              </w:rPr>
              <m:t>WI1</m:t>
            </m:r>
          </m:e>
          <m:sup>
            <m:r>
              <w:rPr>
                <w:rFonts w:ascii="Cambria Math" w:hAnsi="Cambria Math" w:cs="Arial"/>
              </w:rPr>
              <m:t>f</m:t>
            </m:r>
          </m:sup>
        </m:sSup>
        <m:r>
          <w:rPr>
            <w:rFonts w:ascii="Cambria Math" w:hAnsi="Cambria Math" w:cs="Arial"/>
          </w:rPr>
          <m:t xml:space="preserve">= </m:t>
        </m:r>
        <m:nary>
          <m:naryPr>
            <m:chr m:val="∑"/>
            <m:limLoc m:val="undOvr"/>
            <m:supHide m:val="1"/>
            <m:ctrlPr>
              <w:rPr>
                <w:rFonts w:ascii="Cambria Math" w:hAnsi="Cambria Math" w:cs="Arial"/>
                <w:i/>
              </w:rPr>
            </m:ctrlPr>
          </m:naryPr>
          <m:sub>
            <m:r>
              <w:rPr>
                <w:rFonts w:ascii="Cambria Math" w:hAnsi="Cambria Math" w:cs="Arial"/>
              </w:rPr>
              <m:t>i, k</m:t>
            </m:r>
          </m:sub>
          <m:sup/>
          <m:e>
            <m:sSubSup>
              <m:sSubSupPr>
                <m:ctrlPr>
                  <w:rPr>
                    <w:rFonts w:ascii="Cambria Math" w:hAnsi="Cambria Math" w:cs="Arial"/>
                    <w:i/>
                  </w:rPr>
                </m:ctrlPr>
              </m:sSubSupPr>
              <m:e>
                <m:r>
                  <w:rPr>
                    <w:rFonts w:ascii="Cambria Math" w:hAnsi="Cambria Math" w:cs="Arial"/>
                  </w:rPr>
                  <m:t>WI1</m:t>
                </m:r>
              </m:e>
              <m:sub>
                <m:r>
                  <w:rPr>
                    <w:rFonts w:ascii="Cambria Math" w:hAnsi="Cambria Math" w:cs="Arial"/>
                  </w:rPr>
                  <m:t>i</m:t>
                </m:r>
              </m:sub>
              <m:sup>
                <m:r>
                  <w:rPr>
                    <w:rFonts w:ascii="Cambria Math" w:hAnsi="Cambria Math" w:cs="Arial"/>
                  </w:rPr>
                  <m:t>k, f</m:t>
                </m:r>
              </m:sup>
            </m:sSubSup>
          </m:e>
        </m:nary>
      </m:oMath>
      <w:r w:rsidR="0001774B" w:rsidRPr="00B443DA">
        <w:rPr>
          <w:rFonts w:ascii="Felbridge Pro" w:hAnsi="Felbridge Pro" w:cs="Arial"/>
        </w:rPr>
        <w:t xml:space="preserve"> </w:t>
      </w:r>
    </w:p>
    <w:p w14:paraId="5A4F5159" w14:textId="77777777" w:rsidR="0001774B" w:rsidRPr="00B443DA" w:rsidRDefault="0001774B" w:rsidP="0001774B">
      <w:pPr>
        <w:autoSpaceDE w:val="0"/>
        <w:autoSpaceDN w:val="0"/>
        <w:adjustRightInd w:val="0"/>
        <w:spacing w:line="260" w:lineRule="atLeast"/>
        <w:ind w:left="584"/>
        <w:textAlignment w:val="center"/>
        <w:rPr>
          <w:rFonts w:cs="Arial"/>
          <w:lang w:eastAsia="fi-FI"/>
        </w:rPr>
      </w:pPr>
    </w:p>
    <w:p w14:paraId="2FF09B3A" w14:textId="77777777" w:rsidR="0001774B" w:rsidRPr="00B443DA" w:rsidRDefault="0040610B" w:rsidP="0001774B">
      <w:pPr>
        <w:pStyle w:val="ListParagraph"/>
        <w:numPr>
          <w:ilvl w:val="0"/>
          <w:numId w:val="11"/>
        </w:numPr>
        <w:autoSpaceDE w:val="0"/>
        <w:autoSpaceDN w:val="0"/>
        <w:adjustRightInd w:val="0"/>
        <w:spacing w:line="260" w:lineRule="atLeast"/>
        <w:ind w:left="2211" w:hanging="907"/>
        <w:contextualSpacing w:val="0"/>
        <w:jc w:val="left"/>
        <w:textAlignment w:val="center"/>
        <w:rPr>
          <w:rFonts w:ascii="Felbridge Pro" w:hAnsi="Felbridge Pro" w:cs="Arial"/>
        </w:rPr>
      </w:pPr>
      <m:oMath>
        <m:sSubSup>
          <m:sSubSupPr>
            <m:ctrlPr>
              <w:rPr>
                <w:rFonts w:ascii="Cambria Math" w:hAnsi="Cambria Math" w:cs="Arial"/>
                <w:i/>
                <w:sz w:val="20"/>
                <w:szCs w:val="20"/>
              </w:rPr>
            </m:ctrlPr>
          </m:sSubSupPr>
          <m:e>
            <m:r>
              <w:rPr>
                <w:rFonts w:ascii="Cambria Math" w:hAnsi="Cambria Math" w:cs="Arial"/>
              </w:rPr>
              <m:t>WI1</m:t>
            </m:r>
          </m:e>
          <m:sub>
            <m:r>
              <w:rPr>
                <w:rFonts w:ascii="Cambria Math" w:hAnsi="Cambria Math" w:cs="Arial"/>
              </w:rPr>
              <m:t>i</m:t>
            </m:r>
          </m:sub>
          <m:sup>
            <m:r>
              <w:rPr>
                <w:rFonts w:ascii="Cambria Math" w:hAnsi="Cambria Math" w:cs="Arial"/>
              </w:rPr>
              <m:t>k, f</m:t>
            </m:r>
          </m:sup>
        </m:sSubSup>
        <m:r>
          <w:rPr>
            <w:rFonts w:ascii="Cambria Math" w:hAnsi="Cambria Math" w:cs="Arial"/>
          </w:rPr>
          <m:t>=</m:t>
        </m:r>
        <m:d>
          <m:dPr>
            <m:begChr m:val="["/>
            <m:endChr m:val="]"/>
            <m:ctrlPr>
              <w:rPr>
                <w:rFonts w:ascii="Cambria Math" w:hAnsi="Cambria Math" w:cs="Arial"/>
                <w:i/>
                <w:sz w:val="20"/>
                <w:szCs w:val="20"/>
              </w:rPr>
            </m:ctrlPr>
          </m:dPr>
          <m:e>
            <m:sSup>
              <m:sSupPr>
                <m:ctrlPr>
                  <w:rPr>
                    <w:rFonts w:ascii="Cambria Math" w:hAnsi="Cambria Math" w:cs="Arial"/>
                    <w:i/>
                    <w:sz w:val="20"/>
                    <w:szCs w:val="20"/>
                  </w:rPr>
                </m:ctrlPr>
              </m:sSupPr>
              <m:e>
                <m:d>
                  <m:dPr>
                    <m:begChr m:val="["/>
                    <m:endChr m:val="]"/>
                    <m:ctrlPr>
                      <w:rPr>
                        <w:rFonts w:ascii="Cambria Math" w:hAnsi="Cambria Math" w:cs="Arial"/>
                        <w:i/>
                        <w:sz w:val="20"/>
                        <w:szCs w:val="20"/>
                      </w:rPr>
                    </m:ctrlPr>
                  </m:dPr>
                  <m:e>
                    <m:f>
                      <m:fPr>
                        <m:ctrlPr>
                          <w:rPr>
                            <w:rFonts w:ascii="Cambria Math" w:hAnsi="Cambria Math" w:cs="Arial"/>
                            <w:i/>
                            <w:sz w:val="20"/>
                            <w:szCs w:val="20"/>
                          </w:rPr>
                        </m:ctrlPr>
                      </m:fPr>
                      <m:num>
                        <m:sSubSup>
                          <m:sSubSupPr>
                            <m:ctrlPr>
                              <w:rPr>
                                <w:rFonts w:ascii="Cambria Math" w:hAnsi="Cambria Math" w:cs="Arial"/>
                                <w:i/>
                                <w:sz w:val="20"/>
                                <w:szCs w:val="20"/>
                              </w:rPr>
                            </m:ctrlPr>
                          </m:sSubSupPr>
                          <m:e>
                            <m:r>
                              <w:rPr>
                                <w:rFonts w:ascii="Cambria Math" w:hAnsi="Cambria Math" w:cs="Arial"/>
                              </w:rPr>
                              <m:t>d</m:t>
                            </m:r>
                          </m:e>
                          <m:sub>
                            <m:r>
                              <w:rPr>
                                <w:rFonts w:ascii="Cambria Math" w:hAnsi="Cambria Math" w:cs="Arial"/>
                              </w:rPr>
                              <m:t>i</m:t>
                            </m:r>
                          </m:sub>
                          <m:sup>
                            <m:r>
                              <w:rPr>
                                <w:rFonts w:ascii="Cambria Math" w:hAnsi="Cambria Math" w:cs="Arial"/>
                              </w:rPr>
                              <m:t>A, k, f</m:t>
                            </m:r>
                          </m:sup>
                        </m:sSubSup>
                      </m:num>
                      <m:den>
                        <m:sSubSup>
                          <m:sSubSupPr>
                            <m:ctrlPr>
                              <w:rPr>
                                <w:rFonts w:ascii="Cambria Math" w:hAnsi="Cambria Math" w:cs="Arial"/>
                                <w:i/>
                                <w:sz w:val="20"/>
                                <w:szCs w:val="20"/>
                              </w:rPr>
                            </m:ctrlPr>
                          </m:sSubSupPr>
                          <m:e>
                            <m:r>
                              <w:rPr>
                                <w:rFonts w:ascii="Cambria Math" w:hAnsi="Cambria Math" w:cs="Arial"/>
                              </w:rPr>
                              <m:t>d</m:t>
                            </m:r>
                          </m:e>
                          <m:sub>
                            <m:r>
                              <w:rPr>
                                <w:rFonts w:ascii="Cambria Math" w:hAnsi="Cambria Math" w:cs="Arial"/>
                              </w:rPr>
                              <m:t>i</m:t>
                            </m:r>
                          </m:sub>
                          <m:sup>
                            <m:r>
                              <w:rPr>
                                <w:rFonts w:ascii="Cambria Math" w:hAnsi="Cambria Math" w:cs="Arial"/>
                              </w:rPr>
                              <m:t>B, k, f</m:t>
                            </m:r>
                          </m:sup>
                        </m:sSubSup>
                      </m:den>
                    </m:f>
                  </m:e>
                </m:d>
              </m:e>
              <m:sup>
                <m:sSup>
                  <m:sSupPr>
                    <m:ctrlPr>
                      <w:rPr>
                        <w:rFonts w:ascii="Cambria Math" w:hAnsi="Cambria Math" w:cs="Arial"/>
                        <w:i/>
                        <w:sz w:val="20"/>
                        <w:szCs w:val="20"/>
                      </w:rPr>
                    </m:ctrlPr>
                  </m:sSupPr>
                  <m:e>
                    <m:r>
                      <w:rPr>
                        <w:rFonts w:ascii="Cambria Math" w:hAnsi="Cambria Math" w:cs="Arial"/>
                      </w:rPr>
                      <m:t>ρ</m:t>
                    </m:r>
                  </m:e>
                  <m:sup>
                    <m:r>
                      <w:rPr>
                        <w:rFonts w:ascii="Cambria Math" w:hAnsi="Cambria Math" w:cs="Arial"/>
                      </w:rPr>
                      <m:t>k</m:t>
                    </m:r>
                  </m:sup>
                </m:sSup>
              </m:sup>
            </m:sSup>
            <m:r>
              <w:rPr>
                <w:rFonts w:ascii="Cambria Math" w:hAnsi="Cambria Math" w:cs="Arial"/>
              </w:rPr>
              <m:t>-1</m:t>
            </m:r>
          </m:e>
        </m:d>
        <m:sSup>
          <m:sSupPr>
            <m:ctrlPr>
              <w:rPr>
                <w:rFonts w:ascii="Cambria Math" w:hAnsi="Cambria Math" w:cs="Arial"/>
                <w:i/>
                <w:sz w:val="20"/>
                <w:szCs w:val="20"/>
              </w:rPr>
            </m:ctrlPr>
          </m:sSupPr>
          <m:e>
            <m:r>
              <w:rPr>
                <w:rFonts w:ascii="Cambria Math" w:hAnsi="Cambria Math" w:cs="Arial"/>
              </w:rPr>
              <m:t>GDPW</m:t>
            </m:r>
          </m:e>
          <m:sup>
            <m:r>
              <w:rPr>
                <w:rFonts w:ascii="Cambria Math" w:hAnsi="Cambria Math" w:cs="Arial"/>
              </w:rPr>
              <m:t>B, K, f</m:t>
            </m:r>
          </m:sup>
        </m:sSup>
        <m:sSubSup>
          <m:sSubSupPr>
            <m:ctrlPr>
              <w:rPr>
                <w:rFonts w:ascii="Cambria Math" w:hAnsi="Cambria Math" w:cs="Arial"/>
                <w:i/>
                <w:sz w:val="20"/>
                <w:szCs w:val="20"/>
              </w:rPr>
            </m:ctrlPr>
          </m:sSubSupPr>
          <m:e>
            <m:r>
              <w:rPr>
                <w:rFonts w:ascii="Cambria Math" w:hAnsi="Cambria Math" w:cs="Arial"/>
              </w:rPr>
              <m:t>E</m:t>
            </m:r>
          </m:e>
          <m:sub>
            <m:r>
              <w:rPr>
                <w:rFonts w:ascii="Cambria Math" w:hAnsi="Cambria Math" w:cs="Arial"/>
              </w:rPr>
              <m:t>i</m:t>
            </m:r>
          </m:sub>
          <m:sup>
            <m:r>
              <w:rPr>
                <w:rFonts w:ascii="Cambria Math" w:hAnsi="Cambria Math" w:cs="Arial"/>
              </w:rPr>
              <m:t>B, k, f</m:t>
            </m:r>
          </m:sup>
        </m:sSubSup>
      </m:oMath>
    </w:p>
    <w:p w14:paraId="3C7FC17C" w14:textId="77777777" w:rsidR="0001774B" w:rsidRPr="00B443DA" w:rsidRDefault="0001774B" w:rsidP="0001774B">
      <w:pPr>
        <w:pStyle w:val="ListParagraph"/>
        <w:autoSpaceDE w:val="0"/>
        <w:autoSpaceDN w:val="0"/>
        <w:adjustRightInd w:val="0"/>
        <w:spacing w:line="260" w:lineRule="atLeast"/>
        <w:ind w:left="1276"/>
        <w:textAlignment w:val="center"/>
        <w:rPr>
          <w:rFonts w:ascii="Felbridge Pro" w:hAnsi="Felbridge Pro" w:cs="Arial"/>
        </w:rPr>
      </w:pPr>
    </w:p>
    <w:p w14:paraId="0C2E7B7B" w14:textId="77777777" w:rsidR="0001774B" w:rsidRPr="00B443DA" w:rsidRDefault="0001774B" w:rsidP="0001774B">
      <w:pPr>
        <w:pStyle w:val="BodyText"/>
        <w:rPr>
          <w:lang w:eastAsia="fi-FI"/>
        </w:rPr>
      </w:pPr>
      <w:r w:rsidRPr="00B443DA">
        <w:rPr>
          <w:lang w:eastAsia="fi-FI"/>
        </w:rPr>
        <w:t>Missä</w:t>
      </w:r>
    </w:p>
    <w:p w14:paraId="6E43D175" w14:textId="77777777" w:rsidR="0001774B" w:rsidRPr="00B443DA" w:rsidRDefault="0001774B" w:rsidP="0001774B">
      <w:pPr>
        <w:autoSpaceDE w:val="0"/>
        <w:autoSpaceDN w:val="0"/>
        <w:adjustRightInd w:val="0"/>
        <w:spacing w:line="260" w:lineRule="atLeast"/>
        <w:ind w:left="567"/>
        <w:textAlignment w:val="center"/>
        <w:rPr>
          <w:rFonts w:cs="Arial"/>
          <w:lang w:eastAsia="fi-FI"/>
        </w:rPr>
      </w:pPr>
    </w:p>
    <w:p w14:paraId="3AC7630D" w14:textId="77777777" w:rsidR="0001774B" w:rsidRPr="00B443DA" w:rsidRDefault="0040610B" w:rsidP="0001774B">
      <w:pPr>
        <w:pStyle w:val="BodyText"/>
        <w:ind w:left="1985" w:hanging="709"/>
        <w:rPr>
          <w:lang w:eastAsia="fi-FI"/>
        </w:rPr>
      </w:pPr>
      <m:oMath>
        <m:sSup>
          <m:sSupPr>
            <m:ctrlPr>
              <w:rPr>
                <w:rFonts w:ascii="Cambria Math" w:hAnsi="Cambria Math" w:cs="Arial"/>
                <w:i/>
                <w:sz w:val="22"/>
                <w:lang w:eastAsia="fi-FI"/>
              </w:rPr>
            </m:ctrlPr>
          </m:sSupPr>
          <m:e>
            <m:r>
              <w:rPr>
                <w:rFonts w:ascii="Cambria Math" w:hAnsi="Cambria Math" w:cs="Arial"/>
              </w:rPr>
              <m:t>WI1</m:t>
            </m:r>
          </m:e>
          <m:sup>
            <m:r>
              <w:rPr>
                <w:rFonts w:ascii="Cambria Math" w:hAnsi="Cambria Math" w:cs="Arial"/>
              </w:rPr>
              <m:t>f</m:t>
            </m:r>
          </m:sup>
        </m:sSup>
      </m:oMath>
      <w:r w:rsidR="0001774B" w:rsidRPr="00B443DA">
        <w:rPr>
          <w:sz w:val="22"/>
          <w:lang w:eastAsia="fi-FI"/>
        </w:rPr>
        <w:t xml:space="preserve">  </w:t>
      </w:r>
      <w:r w:rsidR="0001774B" w:rsidRPr="00B443DA">
        <w:rPr>
          <w:sz w:val="22"/>
          <w:lang w:eastAsia="fi-FI"/>
        </w:rPr>
        <w:tab/>
      </w:r>
      <w:r w:rsidR="0001774B" w:rsidRPr="00B443DA">
        <w:rPr>
          <w:lang w:eastAsia="fi-FI"/>
        </w:rPr>
        <w:t xml:space="preserve">on kaikkien lähtöalueiden </w:t>
      </w:r>
      <w:r w:rsidR="0001774B" w:rsidRPr="00B443DA">
        <w:rPr>
          <w:rFonts w:ascii="Cambria Math" w:hAnsi="Cambria Math"/>
          <w:i/>
          <w:lang w:eastAsia="fi-FI"/>
        </w:rPr>
        <w:t xml:space="preserve">i </w:t>
      </w:r>
      <w:r w:rsidR="0001774B" w:rsidRPr="00B443DA">
        <w:rPr>
          <w:lang w:eastAsia="fi-FI"/>
        </w:rPr>
        <w:t xml:space="preserve">ja toimialojen </w:t>
      </w:r>
      <w:r w:rsidR="0001774B" w:rsidRPr="00B443DA">
        <w:rPr>
          <w:rFonts w:ascii="Cambria Math" w:hAnsi="Cambria Math"/>
          <w:i/>
          <w:lang w:eastAsia="fi-FI"/>
        </w:rPr>
        <w:t>k</w:t>
      </w:r>
      <w:r w:rsidR="0001774B" w:rsidRPr="00B443DA">
        <w:rPr>
          <w:lang w:eastAsia="fi-FI"/>
        </w:rPr>
        <w:t xml:space="preserve"> yhteenlaskettu agglomeraatiovaikutus ennustevuonna </w:t>
      </w:r>
      <w:r w:rsidR="0001774B" w:rsidRPr="00B443DA">
        <w:rPr>
          <w:rFonts w:ascii="Cambria Math" w:hAnsi="Cambria Math"/>
          <w:i/>
          <w:lang w:eastAsia="fi-FI"/>
        </w:rPr>
        <w:t xml:space="preserve">f </w:t>
      </w:r>
    </w:p>
    <w:p w14:paraId="0E2FB2C8" w14:textId="77777777" w:rsidR="0001774B" w:rsidRPr="00B443DA" w:rsidRDefault="0040610B" w:rsidP="0001774B">
      <w:pPr>
        <w:pStyle w:val="BodyText"/>
        <w:ind w:left="1985" w:hanging="709"/>
        <w:rPr>
          <w:sz w:val="22"/>
          <w:lang w:eastAsia="fi-FI"/>
        </w:rPr>
      </w:pPr>
      <m:oMath>
        <m:sSubSup>
          <m:sSubSupPr>
            <m:ctrlPr>
              <w:rPr>
                <w:rFonts w:ascii="Cambria Math" w:hAnsi="Cambria Math" w:cs="Arial"/>
                <w:i/>
              </w:rPr>
            </m:ctrlPr>
          </m:sSubSupPr>
          <m:e>
            <m:r>
              <w:rPr>
                <w:rFonts w:ascii="Cambria Math" w:hAnsi="Cambria Math" w:cs="Arial"/>
              </w:rPr>
              <m:t>WI1</m:t>
            </m:r>
          </m:e>
          <m:sub>
            <m:r>
              <w:rPr>
                <w:rFonts w:ascii="Cambria Math" w:hAnsi="Cambria Math" w:cs="Arial"/>
              </w:rPr>
              <m:t>i</m:t>
            </m:r>
          </m:sub>
          <m:sup>
            <m:r>
              <w:rPr>
                <w:rFonts w:ascii="Cambria Math" w:hAnsi="Cambria Math" w:cs="Arial"/>
              </w:rPr>
              <m:t>k, f</m:t>
            </m:r>
          </m:sup>
        </m:sSubSup>
      </m:oMath>
      <w:r w:rsidR="0001774B" w:rsidRPr="00B443DA">
        <w:rPr>
          <w:sz w:val="22"/>
          <w:lang w:eastAsia="fi-FI"/>
        </w:rPr>
        <w:tab/>
      </w:r>
      <w:r w:rsidR="0001774B" w:rsidRPr="00B443DA">
        <w:rPr>
          <w:lang w:eastAsia="fi-FI"/>
        </w:rPr>
        <w:t xml:space="preserve">on agglomeraatiovaikutus toimialalla </w:t>
      </w:r>
      <w:r w:rsidR="0001774B" w:rsidRPr="00B443DA">
        <w:rPr>
          <w:rFonts w:ascii="Cambria Math" w:hAnsi="Cambria Math"/>
          <w:i/>
          <w:lang w:eastAsia="fi-FI"/>
        </w:rPr>
        <w:t xml:space="preserve">k </w:t>
      </w:r>
      <w:r w:rsidR="0001774B" w:rsidRPr="00B443DA">
        <w:rPr>
          <w:lang w:eastAsia="fi-FI"/>
        </w:rPr>
        <w:t xml:space="preserve">lähtöalueelle </w:t>
      </w:r>
      <w:r w:rsidR="0001774B" w:rsidRPr="00B443DA">
        <w:rPr>
          <w:rFonts w:ascii="Cambria Math" w:hAnsi="Cambria Math"/>
          <w:i/>
          <w:lang w:eastAsia="fi-FI"/>
        </w:rPr>
        <w:t>i</w:t>
      </w:r>
      <w:r w:rsidR="0001774B" w:rsidRPr="00B443DA">
        <w:rPr>
          <w:lang w:eastAsia="fi-FI"/>
        </w:rPr>
        <w:t xml:space="preserve"> ennustevuonna </w:t>
      </w:r>
      <w:r w:rsidR="0001774B" w:rsidRPr="00B443DA">
        <w:rPr>
          <w:rFonts w:ascii="Cambria Math" w:hAnsi="Cambria Math"/>
          <w:i/>
          <w:lang w:eastAsia="fi-FI"/>
        </w:rPr>
        <w:t>f</w:t>
      </w:r>
    </w:p>
    <w:p w14:paraId="56EA59F4" w14:textId="77777777" w:rsidR="0001774B" w:rsidRPr="00B443DA" w:rsidRDefault="0040610B" w:rsidP="0001774B">
      <w:pPr>
        <w:pStyle w:val="BodyText"/>
        <w:ind w:left="1985" w:hanging="709"/>
        <w:rPr>
          <w:rFonts w:ascii="Cambria Math" w:hAnsi="Cambria Math"/>
          <w:i/>
          <w:lang w:eastAsia="fi-FI"/>
        </w:rPr>
      </w:pPr>
      <m:oMath>
        <m:sSup>
          <m:sSupPr>
            <m:ctrlPr>
              <w:rPr>
                <w:rFonts w:ascii="Cambria Math" w:hAnsi="Cambria Math" w:cs="Arial"/>
                <w:i/>
              </w:rPr>
            </m:ctrlPr>
          </m:sSupPr>
          <m:e>
            <m:r>
              <w:rPr>
                <w:rFonts w:ascii="Cambria Math" w:hAnsi="Cambria Math" w:cs="Arial"/>
              </w:rPr>
              <m:t>GDPW</m:t>
            </m:r>
          </m:e>
          <m:sup>
            <m:r>
              <w:rPr>
                <w:rFonts w:ascii="Cambria Math" w:hAnsi="Cambria Math" w:cs="Arial"/>
              </w:rPr>
              <m:t>B, K, F</m:t>
            </m:r>
          </m:sup>
        </m:sSup>
      </m:oMath>
      <w:r w:rsidR="0001774B" w:rsidRPr="00B443DA">
        <w:rPr>
          <w:lang w:eastAsia="fi-FI"/>
        </w:rPr>
        <w:tab/>
        <w:t>on BKT työntekijää kohden alueella</w:t>
      </w:r>
      <w:r w:rsidR="0001774B" w:rsidRPr="00B443DA">
        <w:rPr>
          <w:sz w:val="22"/>
          <w:lang w:eastAsia="fi-FI"/>
        </w:rPr>
        <w:t xml:space="preserve"> </w:t>
      </w:r>
      <w:r w:rsidR="0001774B" w:rsidRPr="00B443DA">
        <w:rPr>
          <w:rFonts w:ascii="Cambria Math" w:hAnsi="Cambria Math"/>
          <w:i/>
          <w:lang w:eastAsia="fi-FI"/>
        </w:rPr>
        <w:t xml:space="preserve">i </w:t>
      </w:r>
      <w:r w:rsidR="0001774B" w:rsidRPr="00B443DA">
        <w:rPr>
          <w:lang w:eastAsia="fi-FI"/>
        </w:rPr>
        <w:t xml:space="preserve">toimialalla </w:t>
      </w:r>
      <w:r w:rsidR="0001774B" w:rsidRPr="00B443DA">
        <w:rPr>
          <w:rFonts w:ascii="Cambria Math" w:hAnsi="Cambria Math"/>
          <w:i/>
          <w:lang w:eastAsia="fi-FI"/>
        </w:rPr>
        <w:t>k</w:t>
      </w:r>
      <w:r w:rsidR="0001774B" w:rsidRPr="00B443DA">
        <w:rPr>
          <w:lang w:eastAsia="fi-FI"/>
        </w:rPr>
        <w:t xml:space="preserve"> vertailuvaihtoehdon skenaariossa </w:t>
      </w:r>
      <w:r w:rsidR="0001774B" w:rsidRPr="00B443DA">
        <w:rPr>
          <w:rFonts w:ascii="Cambria Math" w:hAnsi="Cambria Math"/>
          <w:i/>
          <w:lang w:eastAsia="fi-FI"/>
        </w:rPr>
        <w:t xml:space="preserve">B </w:t>
      </w:r>
      <w:r w:rsidR="0001774B" w:rsidRPr="00B443DA">
        <w:rPr>
          <w:lang w:eastAsia="fi-FI"/>
        </w:rPr>
        <w:t xml:space="preserve">ennustevuonna </w:t>
      </w:r>
      <w:r w:rsidR="0001774B" w:rsidRPr="00B443DA">
        <w:rPr>
          <w:rFonts w:ascii="Cambria Math" w:hAnsi="Cambria Math"/>
          <w:i/>
          <w:lang w:eastAsia="fi-FI"/>
        </w:rPr>
        <w:t>f</w:t>
      </w:r>
    </w:p>
    <w:p w14:paraId="7789C16D" w14:textId="77777777" w:rsidR="0001774B" w:rsidRPr="00B443DA" w:rsidRDefault="0040610B" w:rsidP="0001774B">
      <w:pPr>
        <w:pStyle w:val="BodyText"/>
        <w:ind w:left="1985" w:hanging="709"/>
        <w:rPr>
          <w:lang w:eastAsia="fi-FI"/>
        </w:rPr>
      </w:pPr>
      <m:oMath>
        <m:sSup>
          <m:sSupPr>
            <m:ctrlPr>
              <w:rPr>
                <w:rFonts w:ascii="Cambria Math" w:hAnsi="Cambria Math" w:cs="Arial"/>
                <w:i/>
              </w:rPr>
            </m:ctrlPr>
          </m:sSupPr>
          <m:e>
            <m:r>
              <w:rPr>
                <w:rFonts w:ascii="Cambria Math" w:hAnsi="Cambria Math" w:cs="Arial"/>
              </w:rPr>
              <m:t>ρ</m:t>
            </m:r>
          </m:e>
          <m:sup>
            <m:r>
              <w:rPr>
                <w:rFonts w:ascii="Cambria Math" w:hAnsi="Cambria Math" w:cs="Arial"/>
              </w:rPr>
              <m:t>k</m:t>
            </m:r>
          </m:sup>
        </m:sSup>
      </m:oMath>
      <w:r w:rsidR="0001774B" w:rsidRPr="00B443DA">
        <w:rPr>
          <w:sz w:val="22"/>
          <w:lang w:eastAsia="fi-FI"/>
        </w:rPr>
        <w:tab/>
      </w:r>
      <w:r w:rsidR="0001774B" w:rsidRPr="00B443DA">
        <w:rPr>
          <w:lang w:eastAsia="fi-FI"/>
        </w:rPr>
        <w:t xml:space="preserve">Kerroin, joka määrittää toimialan </w:t>
      </w:r>
      <w:r w:rsidR="0001774B" w:rsidRPr="00B443DA">
        <w:rPr>
          <w:rFonts w:ascii="Cambria Math" w:hAnsi="Cambria Math"/>
          <w:i/>
          <w:lang w:eastAsia="fi-FI"/>
        </w:rPr>
        <w:t>k</w:t>
      </w:r>
      <w:r w:rsidR="0001774B" w:rsidRPr="00B443DA">
        <w:rPr>
          <w:lang w:eastAsia="fi-FI"/>
        </w:rPr>
        <w:t xml:space="preserve"> tuottavuuden jouston suhteessa tehokkaaseen tiheyteen; kertoimen arvo vaihtelee toimialoittain.</w:t>
      </w:r>
    </w:p>
    <w:p w14:paraId="7ACE5FFD" w14:textId="77777777" w:rsidR="0001774B" w:rsidRPr="00B443DA" w:rsidRDefault="0001774B" w:rsidP="0001774B">
      <w:pPr>
        <w:autoSpaceDE w:val="0"/>
        <w:autoSpaceDN w:val="0"/>
        <w:adjustRightInd w:val="0"/>
        <w:spacing w:line="260" w:lineRule="atLeast"/>
        <w:textAlignment w:val="center"/>
        <w:rPr>
          <w:rFonts w:cs="Arial"/>
          <w:lang w:eastAsia="fi-FI"/>
        </w:rPr>
      </w:pPr>
    </w:p>
    <w:p w14:paraId="3CFC7FD2" w14:textId="0B970627" w:rsidR="008E5CB8" w:rsidRDefault="008E5CB8" w:rsidP="0001774B">
      <w:pPr>
        <w:pStyle w:val="BodyText"/>
      </w:pPr>
      <w:r>
        <w:t xml:space="preserve">Ohjeen liitetiedoissa esitetään laskelmassa käytettävät </w:t>
      </w:r>
      <w:r w:rsidR="001D53AB">
        <w:t xml:space="preserve">Graham ym. (2010) määrittämät </w:t>
      </w:r>
      <w:r>
        <w:t>toimialakohtaiset joustot:</w:t>
      </w:r>
    </w:p>
    <w:p w14:paraId="2505EE25" w14:textId="0E84561B" w:rsidR="008E5CB8" w:rsidRDefault="008E5CB8" w:rsidP="0075772E">
      <w:pPr>
        <w:pStyle w:val="BodyText"/>
        <w:numPr>
          <w:ilvl w:val="0"/>
          <w:numId w:val="23"/>
        </w:numPr>
      </w:pPr>
      <w:r>
        <w:t>Teollisuus (</w:t>
      </w:r>
      <w:r w:rsidRPr="0075772E">
        <w:rPr>
          <w:i/>
          <w:iCs/>
        </w:rPr>
        <w:t>Manufacturing</w:t>
      </w:r>
      <w:r>
        <w:t>): 0,021</w:t>
      </w:r>
    </w:p>
    <w:p w14:paraId="05E7FF50" w14:textId="0FC42023" w:rsidR="008E5CB8" w:rsidRDefault="008E5CB8" w:rsidP="0075772E">
      <w:pPr>
        <w:pStyle w:val="BodyText"/>
        <w:numPr>
          <w:ilvl w:val="0"/>
          <w:numId w:val="23"/>
        </w:numPr>
      </w:pPr>
      <w:r>
        <w:t>Rakentaminen (</w:t>
      </w:r>
      <w:r w:rsidRPr="0075772E">
        <w:rPr>
          <w:i/>
          <w:iCs/>
        </w:rPr>
        <w:t>Construction</w:t>
      </w:r>
      <w:r>
        <w:t>): 0,034</w:t>
      </w:r>
    </w:p>
    <w:p w14:paraId="7211A2AC" w14:textId="2C3FED3C" w:rsidR="008E5CB8" w:rsidRDefault="0075772E" w:rsidP="0075772E">
      <w:pPr>
        <w:pStyle w:val="BodyText"/>
        <w:numPr>
          <w:ilvl w:val="0"/>
          <w:numId w:val="23"/>
        </w:numPr>
      </w:pPr>
      <w:r>
        <w:t>Kuluttajap</w:t>
      </w:r>
      <w:r w:rsidR="008E5CB8">
        <w:t>alvelut (</w:t>
      </w:r>
      <w:r w:rsidR="008E5CB8" w:rsidRPr="0075772E">
        <w:rPr>
          <w:i/>
          <w:iCs/>
        </w:rPr>
        <w:t xml:space="preserve">Consumer </w:t>
      </w:r>
      <w:r w:rsidRPr="0075772E">
        <w:rPr>
          <w:i/>
          <w:iCs/>
        </w:rPr>
        <w:t>s</w:t>
      </w:r>
      <w:r w:rsidR="008E5CB8" w:rsidRPr="0075772E">
        <w:rPr>
          <w:i/>
          <w:iCs/>
        </w:rPr>
        <w:t>ervices</w:t>
      </w:r>
      <w:r w:rsidR="008E5CB8">
        <w:t>): 0,024</w:t>
      </w:r>
    </w:p>
    <w:p w14:paraId="3F2E0836" w14:textId="7D5B40B8" w:rsidR="0075772E" w:rsidRDefault="0075772E" w:rsidP="0075772E">
      <w:pPr>
        <w:pStyle w:val="BodyText"/>
        <w:numPr>
          <w:ilvl w:val="0"/>
          <w:numId w:val="23"/>
        </w:numPr>
      </w:pPr>
      <w:r>
        <w:t>Palvelut yrityksille (</w:t>
      </w:r>
      <w:r w:rsidRPr="0075772E">
        <w:rPr>
          <w:i/>
          <w:iCs/>
        </w:rPr>
        <w:t>Producer services</w:t>
      </w:r>
      <w:r>
        <w:t>): 0,083.</w:t>
      </w:r>
    </w:p>
    <w:p w14:paraId="57029313" w14:textId="12BA5E0A" w:rsidR="001D53AB" w:rsidRDefault="001D53AB" w:rsidP="001D53AB">
      <w:pPr>
        <w:pStyle w:val="BodyText"/>
        <w:rPr>
          <w:lang w:eastAsia="fi-FI"/>
        </w:rPr>
      </w:pPr>
      <w:r>
        <w:rPr>
          <w:lang w:eastAsia="fi-FI"/>
        </w:rPr>
        <w:t>Iso-Britannian ohjeita ja joustoja käytetään Englannissa, Walesissa ja Skotlannissa. Uudessa-Seelannissa Iso-Britannian menetelmä on otettu käyttöön sellaisenaan, mutta joustot on estimoitu 18 toimialan jaolla (</w:t>
      </w:r>
      <w:r w:rsidRPr="000C04A4">
        <w:rPr>
          <w:shd w:val="clear" w:color="auto" w:fill="FFFFFF"/>
        </w:rPr>
        <w:t>Maré ja Graham</w:t>
      </w:r>
      <w:r>
        <w:rPr>
          <w:shd w:val="clear" w:color="auto" w:fill="FFFFFF"/>
        </w:rPr>
        <w:t xml:space="preserve"> </w:t>
      </w:r>
      <w:r w:rsidRPr="000C04A4">
        <w:rPr>
          <w:shd w:val="clear" w:color="auto" w:fill="FFFFFF"/>
        </w:rPr>
        <w:t>2009</w:t>
      </w:r>
      <w:r>
        <w:rPr>
          <w:shd w:val="clear" w:color="auto" w:fill="FFFFFF"/>
        </w:rPr>
        <w:t>)</w:t>
      </w:r>
      <w:r>
        <w:rPr>
          <w:lang w:eastAsia="fi-FI"/>
        </w:rPr>
        <w:t xml:space="preserve">. Joustot vaihtelevan maa- ja metsätalouden 0,032:sta hallinnollisten, ammatillisten ja julkisten palveluiden 0,087:ään. </w:t>
      </w:r>
    </w:p>
    <w:p w14:paraId="426DC723" w14:textId="582A571E" w:rsidR="001D53AB" w:rsidRDefault="001D53AB" w:rsidP="005270F6">
      <w:pPr>
        <w:pStyle w:val="BodyText"/>
        <w:rPr>
          <w:lang w:eastAsia="fi-FI"/>
        </w:rPr>
      </w:pPr>
      <w:r>
        <w:rPr>
          <w:lang w:eastAsia="fi-FI"/>
        </w:rPr>
        <w:lastRenderedPageBreak/>
        <w:t xml:space="preserve">Laskelmassa käytettävä tuottavuuden (BKT/työllinen) kehityksen ennuste esitetään ohjeen liitetiedoissa vastaavalla alue- ja toimialajaottelulla kuin työllisyysennustekin. </w:t>
      </w:r>
    </w:p>
    <w:p w14:paraId="23046A59" w14:textId="3AD8CE40" w:rsidR="001D53AB" w:rsidRDefault="001D53AB" w:rsidP="001D53AB">
      <w:pPr>
        <w:pStyle w:val="Caption"/>
      </w:pPr>
      <w:r>
        <w:t xml:space="preserve">Taulukko </w:t>
      </w:r>
      <w:r w:rsidR="0040610B">
        <w:fldChar w:fldCharType="begin"/>
      </w:r>
      <w:r w:rsidR="0040610B">
        <w:instrText xml:space="preserve"> SEQ Taulukko \* ARABIC </w:instrText>
      </w:r>
      <w:r w:rsidR="0040610B">
        <w:fldChar w:fldCharType="separate"/>
      </w:r>
      <w:r w:rsidR="00FA65C8">
        <w:rPr>
          <w:noProof/>
        </w:rPr>
        <w:t>2</w:t>
      </w:r>
      <w:r w:rsidR="0040610B">
        <w:rPr>
          <w:noProof/>
        </w:rPr>
        <w:fldChar w:fldCharType="end"/>
      </w:r>
      <w:r>
        <w:t>.</w:t>
      </w:r>
      <w:r>
        <w:tab/>
        <w:t>Ote Iso-Britannian arviointiohjeen liitteestä, jossa esitetään tuottavuuden</w:t>
      </w:r>
      <w:r w:rsidR="00173438">
        <w:t xml:space="preserve"> (tuotoksen arvo puntaa/työllinen)</w:t>
      </w:r>
      <w:r>
        <w:t xml:space="preserve"> ennuste.</w:t>
      </w:r>
    </w:p>
    <w:tbl>
      <w:tblPr>
        <w:tblW w:w="8114" w:type="dxa"/>
        <w:tblInd w:w="1271" w:type="dxa"/>
        <w:tblLayout w:type="fixed"/>
        <w:tblCellMar>
          <w:left w:w="70" w:type="dxa"/>
          <w:right w:w="70" w:type="dxa"/>
        </w:tblCellMar>
        <w:tblLook w:val="04A0" w:firstRow="1" w:lastRow="0" w:firstColumn="1" w:lastColumn="0" w:noHBand="0" w:noVBand="1"/>
      </w:tblPr>
      <w:tblGrid>
        <w:gridCol w:w="992"/>
        <w:gridCol w:w="1276"/>
        <w:gridCol w:w="584"/>
        <w:gridCol w:w="585"/>
        <w:gridCol w:w="584"/>
        <w:gridCol w:w="585"/>
        <w:gridCol w:w="585"/>
        <w:gridCol w:w="584"/>
        <w:gridCol w:w="585"/>
        <w:gridCol w:w="584"/>
        <w:gridCol w:w="585"/>
        <w:gridCol w:w="585"/>
      </w:tblGrid>
      <w:tr w:rsidR="00EE6FFC" w:rsidRPr="00EE6FFC" w14:paraId="01005CCF" w14:textId="77777777" w:rsidTr="00EE6FFC">
        <w:trPr>
          <w:trHeight w:val="255"/>
        </w:trPr>
        <w:tc>
          <w:tcPr>
            <w:tcW w:w="992" w:type="dxa"/>
            <w:tcBorders>
              <w:top w:val="single" w:sz="4" w:space="0" w:color="auto"/>
              <w:left w:val="single" w:sz="4" w:space="0" w:color="auto"/>
              <w:bottom w:val="single" w:sz="4" w:space="0" w:color="auto"/>
              <w:right w:val="single" w:sz="4" w:space="0" w:color="auto"/>
            </w:tcBorders>
            <w:shd w:val="clear" w:color="000000" w:fill="CCFFFF"/>
            <w:noWrap/>
            <w:tcMar>
              <w:left w:w="28" w:type="dxa"/>
              <w:right w:w="28" w:type="dxa"/>
            </w:tcMar>
            <w:vAlign w:val="center"/>
            <w:hideMark/>
          </w:tcPr>
          <w:p w14:paraId="114582A6" w14:textId="77777777" w:rsidR="00EE6FFC" w:rsidRPr="00EE6FFC" w:rsidRDefault="00EE6FFC" w:rsidP="00EE6FFC">
            <w:pPr>
              <w:rPr>
                <w:rFonts w:eastAsia="Times New Roman" w:cs="Arial"/>
                <w:b/>
                <w:bCs/>
                <w:sz w:val="12"/>
                <w:szCs w:val="12"/>
                <w:lang w:eastAsia="fi-FI"/>
              </w:rPr>
            </w:pPr>
            <w:r w:rsidRPr="00EE6FFC">
              <w:rPr>
                <w:rFonts w:eastAsia="Times New Roman" w:cs="Arial"/>
                <w:b/>
                <w:bCs/>
                <w:sz w:val="12"/>
                <w:szCs w:val="12"/>
                <w:lang w:eastAsia="fi-FI"/>
              </w:rPr>
              <w:t>LAD_name</w:t>
            </w:r>
          </w:p>
        </w:tc>
        <w:tc>
          <w:tcPr>
            <w:tcW w:w="1276" w:type="dxa"/>
            <w:tcBorders>
              <w:top w:val="single" w:sz="4" w:space="0" w:color="auto"/>
              <w:left w:val="nil"/>
              <w:bottom w:val="single" w:sz="4" w:space="0" w:color="auto"/>
              <w:right w:val="nil"/>
            </w:tcBorders>
            <w:shd w:val="clear" w:color="000000" w:fill="CCFFFF"/>
            <w:noWrap/>
            <w:tcMar>
              <w:left w:w="28" w:type="dxa"/>
              <w:right w:w="28" w:type="dxa"/>
            </w:tcMar>
            <w:vAlign w:val="center"/>
            <w:hideMark/>
          </w:tcPr>
          <w:p w14:paraId="32B1C28B" w14:textId="77777777" w:rsidR="00EE6FFC" w:rsidRPr="00EE6FFC" w:rsidRDefault="00EE6FFC" w:rsidP="00EE6FFC">
            <w:pPr>
              <w:rPr>
                <w:rFonts w:eastAsia="Times New Roman" w:cs="Arial"/>
                <w:b/>
                <w:bCs/>
                <w:sz w:val="12"/>
                <w:szCs w:val="12"/>
                <w:lang w:eastAsia="fi-FI"/>
              </w:rPr>
            </w:pPr>
            <w:r w:rsidRPr="00EE6FFC">
              <w:rPr>
                <w:rFonts w:eastAsia="Times New Roman" w:cs="Arial"/>
                <w:b/>
                <w:bCs/>
                <w:sz w:val="12"/>
                <w:szCs w:val="12"/>
                <w:lang w:eastAsia="fi-FI"/>
              </w:rPr>
              <w:t>4 sectors</w:t>
            </w:r>
          </w:p>
        </w:tc>
        <w:tc>
          <w:tcPr>
            <w:tcW w:w="584" w:type="dxa"/>
            <w:tcBorders>
              <w:top w:val="single" w:sz="4" w:space="0" w:color="auto"/>
              <w:left w:val="single" w:sz="4" w:space="0" w:color="auto"/>
              <w:bottom w:val="single" w:sz="4" w:space="0" w:color="auto"/>
              <w:right w:val="single" w:sz="4" w:space="0" w:color="auto"/>
            </w:tcBorders>
            <w:shd w:val="clear" w:color="000000" w:fill="FFFF99"/>
            <w:noWrap/>
            <w:tcMar>
              <w:left w:w="28" w:type="dxa"/>
              <w:right w:w="28" w:type="dxa"/>
            </w:tcMar>
            <w:vAlign w:val="center"/>
            <w:hideMark/>
          </w:tcPr>
          <w:p w14:paraId="688116BA"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2011</w:t>
            </w:r>
          </w:p>
        </w:tc>
        <w:tc>
          <w:tcPr>
            <w:tcW w:w="585" w:type="dxa"/>
            <w:tcBorders>
              <w:top w:val="single" w:sz="4" w:space="0" w:color="auto"/>
              <w:left w:val="nil"/>
              <w:bottom w:val="single" w:sz="4" w:space="0" w:color="auto"/>
              <w:right w:val="single" w:sz="4" w:space="0" w:color="auto"/>
            </w:tcBorders>
            <w:shd w:val="clear" w:color="000000" w:fill="FFFF99"/>
            <w:noWrap/>
            <w:tcMar>
              <w:left w:w="28" w:type="dxa"/>
              <w:right w:w="28" w:type="dxa"/>
            </w:tcMar>
            <w:vAlign w:val="center"/>
            <w:hideMark/>
          </w:tcPr>
          <w:p w14:paraId="3B51BB4E"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2016</w:t>
            </w:r>
          </w:p>
        </w:tc>
        <w:tc>
          <w:tcPr>
            <w:tcW w:w="584" w:type="dxa"/>
            <w:tcBorders>
              <w:top w:val="single" w:sz="4" w:space="0" w:color="auto"/>
              <w:left w:val="nil"/>
              <w:bottom w:val="single" w:sz="4" w:space="0" w:color="auto"/>
              <w:right w:val="single" w:sz="4" w:space="0" w:color="auto"/>
            </w:tcBorders>
            <w:shd w:val="clear" w:color="000000" w:fill="FFFF99"/>
            <w:noWrap/>
            <w:tcMar>
              <w:left w:w="28" w:type="dxa"/>
              <w:right w:w="28" w:type="dxa"/>
            </w:tcMar>
            <w:vAlign w:val="center"/>
            <w:hideMark/>
          </w:tcPr>
          <w:p w14:paraId="498B8217"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2021</w:t>
            </w:r>
          </w:p>
        </w:tc>
        <w:tc>
          <w:tcPr>
            <w:tcW w:w="585" w:type="dxa"/>
            <w:tcBorders>
              <w:top w:val="single" w:sz="4" w:space="0" w:color="auto"/>
              <w:left w:val="nil"/>
              <w:bottom w:val="single" w:sz="4" w:space="0" w:color="auto"/>
              <w:right w:val="single" w:sz="4" w:space="0" w:color="auto"/>
            </w:tcBorders>
            <w:shd w:val="clear" w:color="000000" w:fill="FFFF99"/>
            <w:noWrap/>
            <w:tcMar>
              <w:left w:w="28" w:type="dxa"/>
              <w:right w:w="28" w:type="dxa"/>
            </w:tcMar>
            <w:vAlign w:val="center"/>
            <w:hideMark/>
          </w:tcPr>
          <w:p w14:paraId="080A95A2"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2026</w:t>
            </w:r>
          </w:p>
        </w:tc>
        <w:tc>
          <w:tcPr>
            <w:tcW w:w="585" w:type="dxa"/>
            <w:tcBorders>
              <w:top w:val="single" w:sz="4" w:space="0" w:color="auto"/>
              <w:left w:val="nil"/>
              <w:bottom w:val="single" w:sz="4" w:space="0" w:color="auto"/>
              <w:right w:val="single" w:sz="4" w:space="0" w:color="auto"/>
            </w:tcBorders>
            <w:shd w:val="clear" w:color="000000" w:fill="FFFF99"/>
            <w:noWrap/>
            <w:tcMar>
              <w:left w:w="28" w:type="dxa"/>
              <w:right w:w="28" w:type="dxa"/>
            </w:tcMar>
            <w:vAlign w:val="center"/>
            <w:hideMark/>
          </w:tcPr>
          <w:p w14:paraId="4122099C"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2036</w:t>
            </w:r>
          </w:p>
        </w:tc>
        <w:tc>
          <w:tcPr>
            <w:tcW w:w="584" w:type="dxa"/>
            <w:tcBorders>
              <w:top w:val="single" w:sz="4" w:space="0" w:color="auto"/>
              <w:left w:val="nil"/>
              <w:bottom w:val="single" w:sz="4" w:space="0" w:color="auto"/>
              <w:right w:val="single" w:sz="4" w:space="0" w:color="auto"/>
            </w:tcBorders>
            <w:shd w:val="clear" w:color="000000" w:fill="FFFF99"/>
            <w:noWrap/>
            <w:tcMar>
              <w:left w:w="28" w:type="dxa"/>
              <w:right w:w="28" w:type="dxa"/>
            </w:tcMar>
            <w:vAlign w:val="center"/>
            <w:hideMark/>
          </w:tcPr>
          <w:p w14:paraId="51974988"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2046</w:t>
            </w:r>
          </w:p>
        </w:tc>
        <w:tc>
          <w:tcPr>
            <w:tcW w:w="585" w:type="dxa"/>
            <w:tcBorders>
              <w:top w:val="single" w:sz="4" w:space="0" w:color="auto"/>
              <w:left w:val="nil"/>
              <w:bottom w:val="single" w:sz="4" w:space="0" w:color="auto"/>
              <w:right w:val="single" w:sz="4" w:space="0" w:color="auto"/>
            </w:tcBorders>
            <w:shd w:val="clear" w:color="000000" w:fill="FFFF99"/>
            <w:noWrap/>
            <w:tcMar>
              <w:left w:w="28" w:type="dxa"/>
              <w:right w:w="28" w:type="dxa"/>
            </w:tcMar>
            <w:vAlign w:val="center"/>
            <w:hideMark/>
          </w:tcPr>
          <w:p w14:paraId="1C8F62F3"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2056</w:t>
            </w:r>
          </w:p>
        </w:tc>
        <w:tc>
          <w:tcPr>
            <w:tcW w:w="584" w:type="dxa"/>
            <w:tcBorders>
              <w:top w:val="single" w:sz="4" w:space="0" w:color="auto"/>
              <w:left w:val="nil"/>
              <w:bottom w:val="single" w:sz="4" w:space="0" w:color="auto"/>
              <w:right w:val="single" w:sz="4" w:space="0" w:color="auto"/>
            </w:tcBorders>
            <w:shd w:val="clear" w:color="000000" w:fill="FFFF99"/>
            <w:noWrap/>
            <w:tcMar>
              <w:left w:w="28" w:type="dxa"/>
              <w:right w:w="28" w:type="dxa"/>
            </w:tcMar>
            <w:vAlign w:val="center"/>
            <w:hideMark/>
          </w:tcPr>
          <w:p w14:paraId="2E064439"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2066</w:t>
            </w:r>
          </w:p>
        </w:tc>
        <w:tc>
          <w:tcPr>
            <w:tcW w:w="585" w:type="dxa"/>
            <w:tcBorders>
              <w:top w:val="single" w:sz="4" w:space="0" w:color="auto"/>
              <w:left w:val="nil"/>
              <w:bottom w:val="single" w:sz="4" w:space="0" w:color="auto"/>
              <w:right w:val="single" w:sz="4" w:space="0" w:color="auto"/>
            </w:tcBorders>
            <w:shd w:val="clear" w:color="000000" w:fill="FFFF99"/>
            <w:noWrap/>
            <w:tcMar>
              <w:left w:w="28" w:type="dxa"/>
              <w:right w:w="28" w:type="dxa"/>
            </w:tcMar>
            <w:vAlign w:val="center"/>
            <w:hideMark/>
          </w:tcPr>
          <w:p w14:paraId="1D576A9D"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2076</w:t>
            </w:r>
          </w:p>
        </w:tc>
        <w:tc>
          <w:tcPr>
            <w:tcW w:w="585" w:type="dxa"/>
            <w:tcBorders>
              <w:top w:val="single" w:sz="4" w:space="0" w:color="auto"/>
              <w:left w:val="nil"/>
              <w:bottom w:val="single" w:sz="4" w:space="0" w:color="auto"/>
              <w:right w:val="single" w:sz="4" w:space="0" w:color="auto"/>
            </w:tcBorders>
            <w:shd w:val="clear" w:color="000000" w:fill="FFFF99"/>
            <w:noWrap/>
            <w:tcMar>
              <w:left w:w="28" w:type="dxa"/>
              <w:right w:w="28" w:type="dxa"/>
            </w:tcMar>
            <w:vAlign w:val="center"/>
            <w:hideMark/>
          </w:tcPr>
          <w:p w14:paraId="3DA1BDEF" w14:textId="77777777" w:rsidR="00EE6FFC" w:rsidRPr="00EE6FFC" w:rsidRDefault="00EE6FFC" w:rsidP="00EE6FFC">
            <w:pPr>
              <w:jc w:val="center"/>
              <w:rPr>
                <w:rFonts w:eastAsia="Times New Roman" w:cs="Arial"/>
                <w:b/>
                <w:bCs/>
                <w:sz w:val="12"/>
                <w:szCs w:val="12"/>
                <w:lang w:eastAsia="fi-FI"/>
              </w:rPr>
            </w:pPr>
            <w:r w:rsidRPr="00EE6FFC">
              <w:rPr>
                <w:rFonts w:eastAsia="Times New Roman" w:cs="Arial"/>
                <w:b/>
                <w:bCs/>
                <w:sz w:val="12"/>
                <w:szCs w:val="12"/>
                <w:lang w:eastAsia="fi-FI"/>
              </w:rPr>
              <w:t>2081</w:t>
            </w:r>
          </w:p>
        </w:tc>
      </w:tr>
      <w:tr w:rsidR="00EE6FFC" w:rsidRPr="00EE6FFC" w14:paraId="1D4F6C78" w14:textId="77777777" w:rsidTr="00EE6FFC">
        <w:trPr>
          <w:trHeight w:val="255"/>
        </w:trPr>
        <w:tc>
          <w:tcPr>
            <w:tcW w:w="992" w:type="dxa"/>
            <w:tcBorders>
              <w:top w:val="nil"/>
              <w:left w:val="single" w:sz="4" w:space="0" w:color="auto"/>
              <w:bottom w:val="nil"/>
              <w:right w:val="single" w:sz="4" w:space="0" w:color="auto"/>
            </w:tcBorders>
            <w:shd w:val="clear" w:color="000000" w:fill="CCFFFF"/>
            <w:noWrap/>
            <w:tcMar>
              <w:left w:w="28" w:type="dxa"/>
              <w:right w:w="28" w:type="dxa"/>
            </w:tcMar>
            <w:vAlign w:val="center"/>
            <w:hideMark/>
          </w:tcPr>
          <w:p w14:paraId="05F522A8"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Darlington</w:t>
            </w:r>
          </w:p>
        </w:tc>
        <w:tc>
          <w:tcPr>
            <w:tcW w:w="1276" w:type="dxa"/>
            <w:tcBorders>
              <w:top w:val="nil"/>
              <w:left w:val="nil"/>
              <w:bottom w:val="nil"/>
              <w:right w:val="nil"/>
            </w:tcBorders>
            <w:shd w:val="clear" w:color="000000" w:fill="CCFFFF"/>
            <w:noWrap/>
            <w:tcMar>
              <w:left w:w="28" w:type="dxa"/>
              <w:right w:w="28" w:type="dxa"/>
            </w:tcMar>
            <w:vAlign w:val="center"/>
            <w:hideMark/>
          </w:tcPr>
          <w:p w14:paraId="283F3604"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Manufacturing</w:t>
            </w:r>
          </w:p>
        </w:tc>
        <w:tc>
          <w:tcPr>
            <w:tcW w:w="584" w:type="dxa"/>
            <w:tcBorders>
              <w:top w:val="nil"/>
              <w:left w:val="single" w:sz="4" w:space="0" w:color="auto"/>
              <w:bottom w:val="nil"/>
              <w:right w:val="single" w:sz="4" w:space="0" w:color="auto"/>
            </w:tcBorders>
            <w:shd w:val="clear" w:color="auto" w:fill="auto"/>
            <w:noWrap/>
            <w:tcMar>
              <w:left w:w="28" w:type="dxa"/>
              <w:right w:w="28" w:type="dxa"/>
            </w:tcMar>
            <w:vAlign w:val="center"/>
            <w:hideMark/>
          </w:tcPr>
          <w:p w14:paraId="1C07F228"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58 135</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77E1B3A5"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64 439</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28B5B199"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61 349</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5D6B04FC"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67 653</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58E61C31"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86 181</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080D00BB"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107 760</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7095772D"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131 320</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62CF14F9"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159 290</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5415A6AE"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191 749</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5DA8519A"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210 380</w:t>
            </w:r>
          </w:p>
        </w:tc>
      </w:tr>
      <w:tr w:rsidR="00EE6FFC" w:rsidRPr="00EE6FFC" w14:paraId="47C722BE" w14:textId="77777777" w:rsidTr="00EE6FFC">
        <w:trPr>
          <w:trHeight w:val="255"/>
        </w:trPr>
        <w:tc>
          <w:tcPr>
            <w:tcW w:w="992" w:type="dxa"/>
            <w:tcBorders>
              <w:top w:val="nil"/>
              <w:left w:val="single" w:sz="4" w:space="0" w:color="auto"/>
              <w:bottom w:val="nil"/>
              <w:right w:val="single" w:sz="4" w:space="0" w:color="auto"/>
            </w:tcBorders>
            <w:shd w:val="clear" w:color="000000" w:fill="CCFFFF"/>
            <w:noWrap/>
            <w:tcMar>
              <w:left w:w="28" w:type="dxa"/>
              <w:right w:w="28" w:type="dxa"/>
            </w:tcMar>
            <w:vAlign w:val="center"/>
            <w:hideMark/>
          </w:tcPr>
          <w:p w14:paraId="0B01042D"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Darlington</w:t>
            </w:r>
          </w:p>
        </w:tc>
        <w:tc>
          <w:tcPr>
            <w:tcW w:w="1276" w:type="dxa"/>
            <w:tcBorders>
              <w:top w:val="nil"/>
              <w:left w:val="nil"/>
              <w:bottom w:val="nil"/>
              <w:right w:val="nil"/>
            </w:tcBorders>
            <w:shd w:val="clear" w:color="000000" w:fill="CCFFFF"/>
            <w:noWrap/>
            <w:tcMar>
              <w:left w:w="28" w:type="dxa"/>
              <w:right w:w="28" w:type="dxa"/>
            </w:tcMar>
            <w:vAlign w:val="center"/>
            <w:hideMark/>
          </w:tcPr>
          <w:p w14:paraId="4109D7E3"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Construction</w:t>
            </w:r>
          </w:p>
        </w:tc>
        <w:tc>
          <w:tcPr>
            <w:tcW w:w="584" w:type="dxa"/>
            <w:tcBorders>
              <w:top w:val="nil"/>
              <w:left w:val="single" w:sz="4" w:space="0" w:color="auto"/>
              <w:bottom w:val="nil"/>
              <w:right w:val="single" w:sz="4" w:space="0" w:color="auto"/>
            </w:tcBorders>
            <w:shd w:val="clear" w:color="auto" w:fill="auto"/>
            <w:noWrap/>
            <w:tcMar>
              <w:left w:w="28" w:type="dxa"/>
              <w:right w:w="28" w:type="dxa"/>
            </w:tcMar>
            <w:vAlign w:val="center"/>
            <w:hideMark/>
          </w:tcPr>
          <w:p w14:paraId="31ABF961"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46 919</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2D8AD6E1"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52 021</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42624B02"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57 457</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4FE45A53"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60 523</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2E114D20"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71 858</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6F0A5FBA"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86 529</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3DD32C3D"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105 447</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7A5E36CF"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127 906</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6E07BFAA"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153 970</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3A50C5F5"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168 930</w:t>
            </w:r>
          </w:p>
        </w:tc>
      </w:tr>
      <w:tr w:rsidR="00EE6FFC" w:rsidRPr="00EE6FFC" w14:paraId="475262AC" w14:textId="77777777" w:rsidTr="00EE6FFC">
        <w:trPr>
          <w:trHeight w:val="255"/>
        </w:trPr>
        <w:tc>
          <w:tcPr>
            <w:tcW w:w="992" w:type="dxa"/>
            <w:tcBorders>
              <w:top w:val="nil"/>
              <w:left w:val="single" w:sz="4" w:space="0" w:color="auto"/>
              <w:bottom w:val="nil"/>
              <w:right w:val="single" w:sz="4" w:space="0" w:color="auto"/>
            </w:tcBorders>
            <w:shd w:val="clear" w:color="000000" w:fill="CCFFFF"/>
            <w:noWrap/>
            <w:tcMar>
              <w:left w:w="28" w:type="dxa"/>
              <w:right w:w="28" w:type="dxa"/>
            </w:tcMar>
            <w:vAlign w:val="center"/>
            <w:hideMark/>
          </w:tcPr>
          <w:p w14:paraId="3D8CAB97"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Darlington</w:t>
            </w:r>
          </w:p>
        </w:tc>
        <w:tc>
          <w:tcPr>
            <w:tcW w:w="1276" w:type="dxa"/>
            <w:tcBorders>
              <w:top w:val="nil"/>
              <w:left w:val="nil"/>
              <w:bottom w:val="nil"/>
              <w:right w:val="nil"/>
            </w:tcBorders>
            <w:shd w:val="clear" w:color="000000" w:fill="CCFFFF"/>
            <w:noWrap/>
            <w:tcMar>
              <w:left w:w="28" w:type="dxa"/>
              <w:right w:w="28" w:type="dxa"/>
            </w:tcMar>
            <w:vAlign w:val="center"/>
            <w:hideMark/>
          </w:tcPr>
          <w:p w14:paraId="589F8E28"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Consumer services</w:t>
            </w:r>
          </w:p>
        </w:tc>
        <w:tc>
          <w:tcPr>
            <w:tcW w:w="584" w:type="dxa"/>
            <w:tcBorders>
              <w:top w:val="nil"/>
              <w:left w:val="single" w:sz="4" w:space="0" w:color="auto"/>
              <w:bottom w:val="nil"/>
              <w:right w:val="single" w:sz="4" w:space="0" w:color="auto"/>
            </w:tcBorders>
            <w:shd w:val="clear" w:color="auto" w:fill="auto"/>
            <w:noWrap/>
            <w:tcMar>
              <w:left w:w="28" w:type="dxa"/>
              <w:right w:w="28" w:type="dxa"/>
            </w:tcMar>
            <w:vAlign w:val="center"/>
            <w:hideMark/>
          </w:tcPr>
          <w:p w14:paraId="7C1D6740"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44 493</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0F0EF079"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50 239</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4B2C0CED"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52 682</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73F8B810"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56 775</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2A94631F"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69 870</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5FC50D4D"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86 040</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717A4430"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104 851</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08CC8393"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127 184</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410272CA"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153 100</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15FA887A"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167 976</w:t>
            </w:r>
          </w:p>
        </w:tc>
      </w:tr>
      <w:tr w:rsidR="00EE6FFC" w:rsidRPr="00EE6FFC" w14:paraId="10BFB97F" w14:textId="77777777" w:rsidTr="00EE6FFC">
        <w:trPr>
          <w:trHeight w:val="255"/>
        </w:trPr>
        <w:tc>
          <w:tcPr>
            <w:tcW w:w="992" w:type="dxa"/>
            <w:tcBorders>
              <w:top w:val="nil"/>
              <w:left w:val="single" w:sz="4" w:space="0" w:color="auto"/>
              <w:bottom w:val="nil"/>
              <w:right w:val="single" w:sz="4" w:space="0" w:color="auto"/>
            </w:tcBorders>
            <w:shd w:val="clear" w:color="000000" w:fill="CCFFFF"/>
            <w:noWrap/>
            <w:tcMar>
              <w:left w:w="28" w:type="dxa"/>
              <w:right w:w="28" w:type="dxa"/>
            </w:tcMar>
            <w:vAlign w:val="center"/>
            <w:hideMark/>
          </w:tcPr>
          <w:p w14:paraId="3EA03CB9"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Darlington</w:t>
            </w:r>
          </w:p>
        </w:tc>
        <w:tc>
          <w:tcPr>
            <w:tcW w:w="1276" w:type="dxa"/>
            <w:tcBorders>
              <w:top w:val="nil"/>
              <w:left w:val="nil"/>
              <w:bottom w:val="nil"/>
              <w:right w:val="nil"/>
            </w:tcBorders>
            <w:shd w:val="clear" w:color="000000" w:fill="CCFFFF"/>
            <w:noWrap/>
            <w:tcMar>
              <w:left w:w="28" w:type="dxa"/>
              <w:right w:w="28" w:type="dxa"/>
            </w:tcMar>
            <w:vAlign w:val="center"/>
            <w:hideMark/>
          </w:tcPr>
          <w:p w14:paraId="24464FB0"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Producer services</w:t>
            </w:r>
          </w:p>
        </w:tc>
        <w:tc>
          <w:tcPr>
            <w:tcW w:w="584" w:type="dxa"/>
            <w:tcBorders>
              <w:top w:val="nil"/>
              <w:left w:val="single" w:sz="4" w:space="0" w:color="auto"/>
              <w:bottom w:val="nil"/>
              <w:right w:val="single" w:sz="4" w:space="0" w:color="auto"/>
            </w:tcBorders>
            <w:shd w:val="clear" w:color="auto" w:fill="auto"/>
            <w:noWrap/>
            <w:tcMar>
              <w:left w:w="28" w:type="dxa"/>
              <w:right w:w="28" w:type="dxa"/>
            </w:tcMar>
            <w:vAlign w:val="center"/>
            <w:hideMark/>
          </w:tcPr>
          <w:p w14:paraId="386BDB8B"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50 214</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1CD23DB6"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50 217</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48963D44"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57 682</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46B944DA"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60 597</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458A30C1"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70 240</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1B46A66B"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83 684</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28BA6480"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101 979</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6827DDA4"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123 700</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209C2E86"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148 907</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22B18ECB"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163 375</w:t>
            </w:r>
          </w:p>
        </w:tc>
      </w:tr>
      <w:tr w:rsidR="00EE6FFC" w:rsidRPr="00EE6FFC" w14:paraId="1203BD29" w14:textId="77777777" w:rsidTr="00EE6FFC">
        <w:trPr>
          <w:trHeight w:val="255"/>
        </w:trPr>
        <w:tc>
          <w:tcPr>
            <w:tcW w:w="992" w:type="dxa"/>
            <w:tcBorders>
              <w:top w:val="nil"/>
              <w:left w:val="single" w:sz="4" w:space="0" w:color="auto"/>
              <w:bottom w:val="nil"/>
              <w:right w:val="single" w:sz="4" w:space="0" w:color="auto"/>
            </w:tcBorders>
            <w:shd w:val="clear" w:color="000000" w:fill="CCFFFF"/>
            <w:noWrap/>
            <w:tcMar>
              <w:left w:w="28" w:type="dxa"/>
              <w:right w:w="28" w:type="dxa"/>
            </w:tcMar>
            <w:vAlign w:val="center"/>
            <w:hideMark/>
          </w:tcPr>
          <w:p w14:paraId="263BF602"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Hartlepool</w:t>
            </w:r>
          </w:p>
        </w:tc>
        <w:tc>
          <w:tcPr>
            <w:tcW w:w="1276" w:type="dxa"/>
            <w:tcBorders>
              <w:top w:val="nil"/>
              <w:left w:val="nil"/>
              <w:bottom w:val="nil"/>
              <w:right w:val="nil"/>
            </w:tcBorders>
            <w:shd w:val="clear" w:color="000000" w:fill="CCFFFF"/>
            <w:noWrap/>
            <w:tcMar>
              <w:left w:w="28" w:type="dxa"/>
              <w:right w:w="28" w:type="dxa"/>
            </w:tcMar>
            <w:vAlign w:val="center"/>
            <w:hideMark/>
          </w:tcPr>
          <w:p w14:paraId="65597F65"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Manufacturing</w:t>
            </w:r>
          </w:p>
        </w:tc>
        <w:tc>
          <w:tcPr>
            <w:tcW w:w="584" w:type="dxa"/>
            <w:tcBorders>
              <w:top w:val="nil"/>
              <w:left w:val="single" w:sz="4" w:space="0" w:color="auto"/>
              <w:bottom w:val="nil"/>
              <w:right w:val="single" w:sz="4" w:space="0" w:color="auto"/>
            </w:tcBorders>
            <w:shd w:val="clear" w:color="auto" w:fill="auto"/>
            <w:noWrap/>
            <w:tcMar>
              <w:left w:w="28" w:type="dxa"/>
              <w:right w:w="28" w:type="dxa"/>
            </w:tcMar>
            <w:vAlign w:val="center"/>
            <w:hideMark/>
          </w:tcPr>
          <w:p w14:paraId="35792946"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91 506</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04312545"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90 733</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6C6F7C70"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88 745</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0C05D39F"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97 609</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0C09BF7E"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124 895</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4E292BF8"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156 491</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443DD5B3"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190 703</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008E1F1A"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231 322</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64CAB833"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278 459</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50095B63"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305 516</w:t>
            </w:r>
          </w:p>
        </w:tc>
      </w:tr>
      <w:tr w:rsidR="00EE6FFC" w:rsidRPr="00EE6FFC" w14:paraId="6C3C566B" w14:textId="77777777" w:rsidTr="00EE6FFC">
        <w:trPr>
          <w:trHeight w:val="255"/>
        </w:trPr>
        <w:tc>
          <w:tcPr>
            <w:tcW w:w="992" w:type="dxa"/>
            <w:tcBorders>
              <w:top w:val="nil"/>
              <w:left w:val="single" w:sz="4" w:space="0" w:color="auto"/>
              <w:bottom w:val="nil"/>
              <w:right w:val="single" w:sz="4" w:space="0" w:color="auto"/>
            </w:tcBorders>
            <w:shd w:val="clear" w:color="000000" w:fill="CCFFFF"/>
            <w:noWrap/>
            <w:tcMar>
              <w:left w:w="28" w:type="dxa"/>
              <w:right w:w="28" w:type="dxa"/>
            </w:tcMar>
            <w:vAlign w:val="center"/>
            <w:hideMark/>
          </w:tcPr>
          <w:p w14:paraId="347C795B"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Hartlepool</w:t>
            </w:r>
          </w:p>
        </w:tc>
        <w:tc>
          <w:tcPr>
            <w:tcW w:w="1276" w:type="dxa"/>
            <w:tcBorders>
              <w:top w:val="nil"/>
              <w:left w:val="nil"/>
              <w:bottom w:val="nil"/>
              <w:right w:val="nil"/>
            </w:tcBorders>
            <w:shd w:val="clear" w:color="000000" w:fill="CCFFFF"/>
            <w:noWrap/>
            <w:tcMar>
              <w:left w:w="28" w:type="dxa"/>
              <w:right w:w="28" w:type="dxa"/>
            </w:tcMar>
            <w:vAlign w:val="center"/>
            <w:hideMark/>
          </w:tcPr>
          <w:p w14:paraId="26485906"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Construction</w:t>
            </w:r>
          </w:p>
        </w:tc>
        <w:tc>
          <w:tcPr>
            <w:tcW w:w="584" w:type="dxa"/>
            <w:tcBorders>
              <w:top w:val="nil"/>
              <w:left w:val="single" w:sz="4" w:space="0" w:color="auto"/>
              <w:bottom w:val="nil"/>
              <w:right w:val="single" w:sz="4" w:space="0" w:color="auto"/>
            </w:tcBorders>
            <w:shd w:val="clear" w:color="auto" w:fill="auto"/>
            <w:noWrap/>
            <w:tcMar>
              <w:left w:w="28" w:type="dxa"/>
              <w:right w:w="28" w:type="dxa"/>
            </w:tcMar>
            <w:vAlign w:val="center"/>
            <w:hideMark/>
          </w:tcPr>
          <w:p w14:paraId="408C012A"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46 919</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561574C2"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52 021</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102D21C7"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57 457</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2E7586F7"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60 523</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1B05D46E"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71 858</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7C335110"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86 529</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0BBC366A"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105 447</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28C42BCC"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127 906</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52DAE946"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153 970</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3333FB4C"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168 930</w:t>
            </w:r>
          </w:p>
        </w:tc>
      </w:tr>
      <w:tr w:rsidR="00EE6FFC" w:rsidRPr="00EE6FFC" w14:paraId="058D6125" w14:textId="77777777" w:rsidTr="00EE6FFC">
        <w:trPr>
          <w:trHeight w:val="255"/>
        </w:trPr>
        <w:tc>
          <w:tcPr>
            <w:tcW w:w="992" w:type="dxa"/>
            <w:tcBorders>
              <w:top w:val="nil"/>
              <w:left w:val="single" w:sz="4" w:space="0" w:color="auto"/>
              <w:bottom w:val="nil"/>
              <w:right w:val="single" w:sz="4" w:space="0" w:color="auto"/>
            </w:tcBorders>
            <w:shd w:val="clear" w:color="000000" w:fill="CCFFFF"/>
            <w:noWrap/>
            <w:tcMar>
              <w:left w:w="28" w:type="dxa"/>
              <w:right w:w="28" w:type="dxa"/>
            </w:tcMar>
            <w:vAlign w:val="center"/>
            <w:hideMark/>
          </w:tcPr>
          <w:p w14:paraId="61CC2F78"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Hartlepool</w:t>
            </w:r>
          </w:p>
        </w:tc>
        <w:tc>
          <w:tcPr>
            <w:tcW w:w="1276" w:type="dxa"/>
            <w:tcBorders>
              <w:top w:val="nil"/>
              <w:left w:val="nil"/>
              <w:bottom w:val="nil"/>
              <w:right w:val="nil"/>
            </w:tcBorders>
            <w:shd w:val="clear" w:color="000000" w:fill="CCFFFF"/>
            <w:noWrap/>
            <w:tcMar>
              <w:left w:w="28" w:type="dxa"/>
              <w:right w:w="28" w:type="dxa"/>
            </w:tcMar>
            <w:vAlign w:val="center"/>
            <w:hideMark/>
          </w:tcPr>
          <w:p w14:paraId="7145FE4F"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Consumer services</w:t>
            </w:r>
          </w:p>
        </w:tc>
        <w:tc>
          <w:tcPr>
            <w:tcW w:w="584" w:type="dxa"/>
            <w:tcBorders>
              <w:top w:val="nil"/>
              <w:left w:val="single" w:sz="4" w:space="0" w:color="auto"/>
              <w:bottom w:val="nil"/>
              <w:right w:val="single" w:sz="4" w:space="0" w:color="auto"/>
            </w:tcBorders>
            <w:shd w:val="clear" w:color="auto" w:fill="auto"/>
            <w:noWrap/>
            <w:tcMar>
              <w:left w:w="28" w:type="dxa"/>
              <w:right w:w="28" w:type="dxa"/>
            </w:tcMar>
            <w:vAlign w:val="center"/>
            <w:hideMark/>
          </w:tcPr>
          <w:p w14:paraId="253A163C"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37 869</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4073C740"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40 880</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34AFB8B8"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43 462</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544E35D9"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46 321</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2F18C6ED"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55 818</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26D63782"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67 946</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70244EC0"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82 800</w:t>
            </w:r>
          </w:p>
        </w:tc>
        <w:tc>
          <w:tcPr>
            <w:tcW w:w="584" w:type="dxa"/>
            <w:tcBorders>
              <w:top w:val="nil"/>
              <w:left w:val="nil"/>
              <w:bottom w:val="nil"/>
              <w:right w:val="single" w:sz="4" w:space="0" w:color="auto"/>
            </w:tcBorders>
            <w:shd w:val="clear" w:color="auto" w:fill="auto"/>
            <w:noWrap/>
            <w:tcMar>
              <w:left w:w="28" w:type="dxa"/>
              <w:right w:w="28" w:type="dxa"/>
            </w:tcMar>
            <w:vAlign w:val="center"/>
            <w:hideMark/>
          </w:tcPr>
          <w:p w14:paraId="3734F997"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100 436</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77D822B8"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120 902</w:t>
            </w:r>
          </w:p>
        </w:tc>
        <w:tc>
          <w:tcPr>
            <w:tcW w:w="585" w:type="dxa"/>
            <w:tcBorders>
              <w:top w:val="nil"/>
              <w:left w:val="nil"/>
              <w:bottom w:val="nil"/>
              <w:right w:val="single" w:sz="4" w:space="0" w:color="auto"/>
            </w:tcBorders>
            <w:shd w:val="clear" w:color="auto" w:fill="auto"/>
            <w:noWrap/>
            <w:tcMar>
              <w:left w:w="28" w:type="dxa"/>
              <w:right w:w="28" w:type="dxa"/>
            </w:tcMar>
            <w:vAlign w:val="center"/>
            <w:hideMark/>
          </w:tcPr>
          <w:p w14:paraId="39B8E747"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132 650</w:t>
            </w:r>
          </w:p>
        </w:tc>
      </w:tr>
      <w:tr w:rsidR="00EE6FFC" w:rsidRPr="00EE6FFC" w14:paraId="626D097B" w14:textId="77777777" w:rsidTr="00EE6FFC">
        <w:trPr>
          <w:trHeight w:val="255"/>
        </w:trPr>
        <w:tc>
          <w:tcPr>
            <w:tcW w:w="992" w:type="dxa"/>
            <w:tcBorders>
              <w:top w:val="nil"/>
              <w:left w:val="single" w:sz="4" w:space="0" w:color="auto"/>
              <w:bottom w:val="single" w:sz="4" w:space="0" w:color="auto"/>
              <w:right w:val="single" w:sz="4" w:space="0" w:color="auto"/>
            </w:tcBorders>
            <w:shd w:val="clear" w:color="000000" w:fill="CCFFFF"/>
            <w:noWrap/>
            <w:tcMar>
              <w:left w:w="28" w:type="dxa"/>
              <w:right w:w="28" w:type="dxa"/>
            </w:tcMar>
            <w:vAlign w:val="center"/>
            <w:hideMark/>
          </w:tcPr>
          <w:p w14:paraId="1BD46D75"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Hartlepool</w:t>
            </w:r>
          </w:p>
        </w:tc>
        <w:tc>
          <w:tcPr>
            <w:tcW w:w="1276" w:type="dxa"/>
            <w:tcBorders>
              <w:top w:val="nil"/>
              <w:left w:val="nil"/>
              <w:bottom w:val="single" w:sz="4" w:space="0" w:color="auto"/>
              <w:right w:val="nil"/>
            </w:tcBorders>
            <w:shd w:val="clear" w:color="000000" w:fill="CCFFFF"/>
            <w:noWrap/>
            <w:tcMar>
              <w:left w:w="28" w:type="dxa"/>
              <w:right w:w="28" w:type="dxa"/>
            </w:tcMar>
            <w:vAlign w:val="center"/>
            <w:hideMark/>
          </w:tcPr>
          <w:p w14:paraId="3F77F101" w14:textId="77777777" w:rsidR="00EE6FFC" w:rsidRPr="00EE6FFC" w:rsidRDefault="00EE6FFC" w:rsidP="00EE6FFC">
            <w:pPr>
              <w:rPr>
                <w:rFonts w:eastAsia="Times New Roman" w:cs="Arial"/>
                <w:sz w:val="12"/>
                <w:szCs w:val="12"/>
                <w:lang w:eastAsia="fi-FI"/>
              </w:rPr>
            </w:pPr>
            <w:r w:rsidRPr="00EE6FFC">
              <w:rPr>
                <w:rFonts w:eastAsia="Times New Roman" w:cs="Arial"/>
                <w:sz w:val="12"/>
                <w:szCs w:val="12"/>
                <w:lang w:eastAsia="fi-FI"/>
              </w:rPr>
              <w:t>Producer services</w:t>
            </w:r>
          </w:p>
        </w:tc>
        <w:tc>
          <w:tcPr>
            <w:tcW w:w="58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765827C"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41 380</w:t>
            </w:r>
          </w:p>
        </w:tc>
        <w:tc>
          <w:tcPr>
            <w:tcW w:w="58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C4BC80F"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44 641</w:t>
            </w:r>
          </w:p>
        </w:tc>
        <w:tc>
          <w:tcPr>
            <w:tcW w:w="58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46A869"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51 311</w:t>
            </w:r>
          </w:p>
        </w:tc>
        <w:tc>
          <w:tcPr>
            <w:tcW w:w="58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BB7B07D"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54 303</w:t>
            </w:r>
          </w:p>
        </w:tc>
        <w:tc>
          <w:tcPr>
            <w:tcW w:w="58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996CECD"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63 883</w:t>
            </w:r>
          </w:p>
        </w:tc>
        <w:tc>
          <w:tcPr>
            <w:tcW w:w="58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2C2E377"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76 667</w:t>
            </w:r>
          </w:p>
        </w:tc>
        <w:tc>
          <w:tcPr>
            <w:tcW w:w="58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CB07361"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93 429</w:t>
            </w:r>
          </w:p>
        </w:tc>
        <w:tc>
          <w:tcPr>
            <w:tcW w:w="58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7271800"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113 329</w:t>
            </w:r>
          </w:p>
        </w:tc>
        <w:tc>
          <w:tcPr>
            <w:tcW w:w="58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5BD61B7"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136 422</w:t>
            </w:r>
          </w:p>
        </w:tc>
        <w:tc>
          <w:tcPr>
            <w:tcW w:w="58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D5A75FC" w14:textId="77777777" w:rsidR="00EE6FFC" w:rsidRPr="00EE6FFC" w:rsidRDefault="00EE6FFC" w:rsidP="00EE6FFC">
            <w:pPr>
              <w:jc w:val="center"/>
              <w:rPr>
                <w:rFonts w:eastAsia="Times New Roman" w:cs="Arial"/>
                <w:sz w:val="12"/>
                <w:szCs w:val="12"/>
                <w:lang w:eastAsia="fi-FI"/>
              </w:rPr>
            </w:pPr>
            <w:r w:rsidRPr="00EE6FFC">
              <w:rPr>
                <w:rFonts w:eastAsia="Times New Roman" w:cs="Arial"/>
                <w:sz w:val="12"/>
                <w:szCs w:val="12"/>
                <w:lang w:eastAsia="fi-FI"/>
              </w:rPr>
              <w:t>149 678</w:t>
            </w:r>
          </w:p>
        </w:tc>
      </w:tr>
    </w:tbl>
    <w:p w14:paraId="66EFA52A" w14:textId="77777777" w:rsidR="00EE6FFC" w:rsidRPr="00EE6FFC" w:rsidRDefault="00EE6FFC" w:rsidP="00EE6FFC"/>
    <w:p w14:paraId="27C474F8" w14:textId="50D1779C" w:rsidR="001D53AB" w:rsidRPr="005270F6" w:rsidRDefault="00830DA0" w:rsidP="005270F6">
      <w:pPr>
        <w:pStyle w:val="BodyText"/>
        <w:rPr>
          <w:lang w:eastAsia="fi-FI"/>
        </w:rPr>
      </w:pPr>
      <w:r>
        <w:rPr>
          <w:lang w:eastAsia="fi-FI"/>
        </w:rPr>
        <w:t>Iso-Britannian laskentamenetelmää ja sen laajempaa sovellettavuutta kohtaan on kohdistettu kritiikkiä (ks. esim. Laakso ja Metsäranta 2017 liitteet). Laskentaparametrien tulee perustua kullakin alueella erikseen tehtyihin empiirisiin tutkimuksiin</w:t>
      </w:r>
      <w:r w:rsidR="00090185">
        <w:rPr>
          <w:lang w:eastAsia="fi-FI"/>
        </w:rPr>
        <w:t xml:space="preserve">. Tämän lisäksi jää epäselväksi, onko kasautumishyöty ylipäätään </w:t>
      </w:r>
      <w:r>
        <w:rPr>
          <w:lang w:eastAsia="fi-FI"/>
        </w:rPr>
        <w:t xml:space="preserve"> </w:t>
      </w:r>
      <w:r w:rsidR="00090185">
        <w:rPr>
          <w:lang w:eastAsia="fi-FI"/>
        </w:rPr>
        <w:t xml:space="preserve">lisähyöty vai matka-aikasäästöjen ilmenemismuoto, joka on jo kertaalleen laskettu hankkeen hyödyksi hyöty-kustannuslaskelmassa. </w:t>
      </w:r>
    </w:p>
    <w:p w14:paraId="449AC022" w14:textId="50C5941F" w:rsidR="00C342FF" w:rsidRPr="00630CCA" w:rsidRDefault="00A17038" w:rsidP="00463345">
      <w:pPr>
        <w:pStyle w:val="Heading2"/>
      </w:pPr>
      <w:bookmarkStart w:id="19" w:name="_Toc76110782"/>
      <w:r>
        <w:t>Tehokkaan tiheyden ja tuottavuuden välinen jousto</w:t>
      </w:r>
      <w:bookmarkEnd w:id="19"/>
    </w:p>
    <w:p w14:paraId="7FC9A8F9" w14:textId="157ABCBC" w:rsidR="00C342FF" w:rsidRPr="00630CCA" w:rsidRDefault="00C342FF" w:rsidP="00C342FF">
      <w:pPr>
        <w:pStyle w:val="BodyText"/>
      </w:pPr>
      <w:r w:rsidRPr="00630CCA">
        <w:t xml:space="preserve">Kasautumisen vaikutuksen tarkasteluun liittyy haasteita, joita </w:t>
      </w:r>
      <w:r>
        <w:t>ovat käyneet</w:t>
      </w:r>
      <w:r w:rsidRPr="00630CCA">
        <w:t xml:space="preserve"> läpi Proost ja Thisse (2019), Combes ja Gobillon (2015), Graham ja Gibbons (2019) ja suomeksi osaksi koottuna Haapamäki ym. (2020). Suurin osa haasteista liittyy tutkimusasetelmaan ja siihen, voiko tuloksista tehdä kausaalipäätelmiä. Jos esimerkiksi palkkoja selitetään alueen tehokkaalla tiheydellä, kohdataan ongelmia, joiden takia tiheyden vaikutus voi näyttäytyä suurempana kuin se on. Näistä mainittakoon esimerkkeinä puuttu</w:t>
      </w:r>
      <w:r>
        <w:t>v</w:t>
      </w:r>
      <w:r w:rsidRPr="00630CCA">
        <w:t>an muuttujan harha, käänteinen syy-</w:t>
      </w:r>
      <w:r w:rsidRPr="00654D1E">
        <w:rPr>
          <w:shd w:val="clear" w:color="auto" w:fill="FFFFFF" w:themeFill="background1"/>
        </w:rPr>
        <w:t>seuraussuhde ja valikoitumisharha. Näitä kutsutaan yleisesti endogeenisuusongelmiksi. Graham ja Gibbons (2019) mukaan merkittävät eroavaisuudet joustoestimaatin</w:t>
      </w:r>
      <w:r w:rsidRPr="00630CCA">
        <w:t xml:space="preserve"> koossa voivatkin johtua tutkimuksen empiirisistä metodeista ja siitä</w:t>
      </w:r>
      <w:r>
        <w:t>,</w:t>
      </w:r>
      <w:r w:rsidRPr="00630CCA">
        <w:t xml:space="preserve"> onko tutkimus pyrkinyt korjaamaan tätä nk. endogeenisuusongelmaa ja jos on, miten. Tutkimukset, jotka eivät endogeenisuutta korjaa tai kykene sitä korjaamaan täysin saavat harhaisesti liian suuria joustokertoimia, eivätkä siten tarjoa luotettavia joustoestimaatteja.  Myös tulosten yleistäminen muihin konteksteihin on haastavaa.</w:t>
      </w:r>
    </w:p>
    <w:p w14:paraId="76644360" w14:textId="77777777" w:rsidR="00C342FF" w:rsidRPr="00630CCA" w:rsidRDefault="00C342FF" w:rsidP="00C342FF">
      <w:pPr>
        <w:pStyle w:val="BodyText"/>
      </w:pPr>
      <w:r w:rsidRPr="00630CCA">
        <w:t>Kasautumisen jouston mittaamiseen tarvitaan karkeasti ottaen seuraavat viisi tekijää</w:t>
      </w:r>
      <w:r>
        <w:t xml:space="preserve"> tarkasti harkitun tutkimusasetelman lisäksi </w:t>
      </w:r>
      <w:r w:rsidRPr="00630CCA">
        <w:t>(Graham ja Gibbons, 2019):</w:t>
      </w:r>
    </w:p>
    <w:p w14:paraId="7F79C1DE" w14:textId="77777777" w:rsidR="00C342FF" w:rsidRPr="00630CCA" w:rsidRDefault="00C342FF" w:rsidP="00654D1E">
      <w:pPr>
        <w:pStyle w:val="BodyText"/>
        <w:numPr>
          <w:ilvl w:val="0"/>
          <w:numId w:val="10"/>
        </w:numPr>
      </w:pPr>
      <w:r w:rsidRPr="00630CCA">
        <w:t xml:space="preserve">Aluetason tuottavuusaineisto. Voi olla esimerkiksi joko yritystason aineistoa tai yksilötason palkka-aineistoa. </w:t>
      </w:r>
    </w:p>
    <w:p w14:paraId="7D0F558F" w14:textId="77777777" w:rsidR="00C342FF" w:rsidRPr="00630CCA" w:rsidRDefault="00C342FF" w:rsidP="00654D1E">
      <w:pPr>
        <w:pStyle w:val="BodyText"/>
        <w:numPr>
          <w:ilvl w:val="0"/>
          <w:numId w:val="10"/>
        </w:numPr>
      </w:pPr>
      <w:r w:rsidRPr="00630CCA">
        <w:t>Edellä olevan aineiston paikantaminen aluetasolle, jotta voidaan laskea alueiden keskimääräiset tehokkaat tiheydet.</w:t>
      </w:r>
    </w:p>
    <w:p w14:paraId="50524F27" w14:textId="77777777" w:rsidR="00C342FF" w:rsidRPr="00482868" w:rsidRDefault="00C342FF" w:rsidP="00654D1E">
      <w:pPr>
        <w:pStyle w:val="BodyText"/>
        <w:numPr>
          <w:ilvl w:val="0"/>
          <w:numId w:val="10"/>
        </w:numPr>
      </w:pPr>
      <w:r w:rsidRPr="00482868">
        <w:t>Tehokkaan tiheyden laskeminen jokaiselle alueelle.</w:t>
      </w:r>
    </w:p>
    <w:p w14:paraId="60F7FD0E" w14:textId="77777777" w:rsidR="00BD1D15" w:rsidRDefault="00C342FF" w:rsidP="00A76B5E">
      <w:pPr>
        <w:pStyle w:val="BodyText"/>
        <w:numPr>
          <w:ilvl w:val="0"/>
          <w:numId w:val="10"/>
        </w:numPr>
      </w:pPr>
      <w:r w:rsidRPr="00482868">
        <w:t xml:space="preserve">Tuottavuus- tai vaihtoehtoisesti palkkafunktion määrittäminen. Funktiossa </w:t>
      </w:r>
      <w:r w:rsidRPr="00A17038">
        <w:t>tehokkaan tiheyden parametri sisällytetään muuttujana, joka vaikuttaa tuottavuuteen (</w:t>
      </w:r>
      <w:r w:rsidRPr="003806D8">
        <w:rPr>
          <w:i/>
          <w:iCs/>
        </w:rPr>
        <w:t>shifter of productivity</w:t>
      </w:r>
      <w:r w:rsidRPr="00A17038">
        <w:t>).</w:t>
      </w:r>
    </w:p>
    <w:p w14:paraId="7C005D5D" w14:textId="7CF86999" w:rsidR="00C342FF" w:rsidRPr="00630CCA" w:rsidRDefault="00C342FF" w:rsidP="00A76B5E">
      <w:pPr>
        <w:pStyle w:val="BodyText"/>
        <w:numPr>
          <w:ilvl w:val="0"/>
          <w:numId w:val="10"/>
        </w:numPr>
      </w:pPr>
      <w:r w:rsidRPr="00630CCA">
        <w:t xml:space="preserve">Joustojen arvot </w:t>
      </w:r>
      <w:r>
        <w:t xml:space="preserve">voidaan laskea myös </w:t>
      </w:r>
      <w:r w:rsidRPr="00630CCA">
        <w:t xml:space="preserve">sektoreittain. </w:t>
      </w:r>
    </w:p>
    <w:p w14:paraId="350AA941" w14:textId="23AF9D45" w:rsidR="00C342FF" w:rsidRPr="00630CCA" w:rsidRDefault="00C342FF" w:rsidP="00C342FF">
      <w:pPr>
        <w:pStyle w:val="BodyText"/>
      </w:pPr>
      <w:r w:rsidRPr="00630CCA">
        <w:lastRenderedPageBreak/>
        <w:t xml:space="preserve">Graham ja Gibbons (2019) mukaan kasautumisvaikutusten tarkasteluun liittyy kuitenkin vielä useita haasteita, epäselvyyksiä ja avoimia kysymyksiä, joihin tulevan tutkimuksen tulisi </w:t>
      </w:r>
      <w:r>
        <w:t>keskittyä</w:t>
      </w:r>
      <w:r w:rsidRPr="00630CCA">
        <w:t xml:space="preserve">. Tähän </w:t>
      </w:r>
      <w:r>
        <w:t>osioon</w:t>
      </w:r>
      <w:r w:rsidRPr="00630CCA">
        <w:t xml:space="preserve"> liittyen niistä mainittakoon seuraavat, joiden käyttöön tulisikin suhtautua avoimesti ja joustavasti seuraten tuoretta tutkimuskirjallisuutta</w:t>
      </w:r>
      <w:r w:rsidR="00BD1D15">
        <w:t>:</w:t>
      </w:r>
    </w:p>
    <w:p w14:paraId="750BFA5A" w14:textId="7CA1C3FC" w:rsidR="00C342FF" w:rsidRPr="00630CCA" w:rsidRDefault="00C342FF" w:rsidP="00BD1D15">
      <w:pPr>
        <w:pStyle w:val="BodyText"/>
        <w:numPr>
          <w:ilvl w:val="0"/>
          <w:numId w:val="19"/>
        </w:numPr>
      </w:pPr>
      <w:r>
        <w:t>Kasautumisvaikutusten tarkastelu e</w:t>
      </w:r>
      <w:r w:rsidRPr="00630CCA">
        <w:t>ri vaihtoeh</w:t>
      </w:r>
      <w:r>
        <w:t>d</w:t>
      </w:r>
      <w:r w:rsidRPr="00630CCA">
        <w:t>o</w:t>
      </w:r>
      <w:r>
        <w:t>illa</w:t>
      </w:r>
      <w:r w:rsidRPr="00630CCA">
        <w:t>, jo</w:t>
      </w:r>
      <w:r>
        <w:t>i</w:t>
      </w:r>
      <w:r w:rsidRPr="00630CCA">
        <w:t>lla sekä taloudellista massaa että matkavastusta</w:t>
      </w:r>
      <w:r>
        <w:t xml:space="preserve"> kuvataan</w:t>
      </w:r>
      <w:r w:rsidRPr="00630CCA">
        <w:t xml:space="preserve">. </w:t>
      </w:r>
      <w:r>
        <w:t>Arvioinneissa</w:t>
      </w:r>
      <w:r w:rsidRPr="00630CCA">
        <w:t xml:space="preserve"> tulisi huomioida etenkin asukasluku ja työllisyys kuvaamaan taloudellista massaa, ja yleiskustannus ja etäisyys kuvaamaan matkavastusta.</w:t>
      </w:r>
    </w:p>
    <w:p w14:paraId="6790436E" w14:textId="4831A1F9" w:rsidR="00C342FF" w:rsidRPr="00630CCA" w:rsidRDefault="00C342FF" w:rsidP="00BD1D15">
      <w:pPr>
        <w:pStyle w:val="BodyText"/>
        <w:numPr>
          <w:ilvl w:val="0"/>
          <w:numId w:val="19"/>
        </w:numPr>
      </w:pPr>
      <w:r w:rsidRPr="00630CCA">
        <w:t>Kuihtumisparametri. Eri lähestymistapoja tulisi kokeilla ja tuloksia verrata keskenään, kuten myös tarkastella sitä, miten niiden erot näkyvät hankearvioinneissa</w:t>
      </w:r>
      <w:r>
        <w:t>.</w:t>
      </w:r>
    </w:p>
    <w:p w14:paraId="155DE2BE" w14:textId="52E7C83B" w:rsidR="00F43ED3" w:rsidRPr="00630CCA" w:rsidRDefault="00C342FF" w:rsidP="003806D8">
      <w:pPr>
        <w:pStyle w:val="BodyText"/>
        <w:numPr>
          <w:ilvl w:val="0"/>
          <w:numId w:val="19"/>
        </w:numPr>
      </w:pPr>
      <w:r w:rsidRPr="00630CCA">
        <w:t>Heterogeeniset vaikutukset. Ekonometriset mallit pitäisi suunnitella niin, että kasautumisvaikutusten epäline</w:t>
      </w:r>
      <w:r>
        <w:t>a</w:t>
      </w:r>
      <w:r w:rsidRPr="00630CCA">
        <w:t xml:space="preserve">arisuutta ja heterogeenisuutta erilaisten alueiden välillä voidaan tarkastella. Tulosten pohjalta tulisi arvioida, voidaanko tuloksia käyttää hankearvioinnissa, eli ovatko ne siihen sopivia.  </w:t>
      </w:r>
    </w:p>
    <w:p w14:paraId="446E86BB" w14:textId="48032ACC" w:rsidR="00D577E9" w:rsidRDefault="007E4C69" w:rsidP="007E4C69">
      <w:pPr>
        <w:pStyle w:val="Heading1"/>
      </w:pPr>
      <w:bookmarkStart w:id="20" w:name="_Toc76110783"/>
      <w:r>
        <w:t>Tehokkaan tiheyden mittarin määrittäminen</w:t>
      </w:r>
      <w:bookmarkEnd w:id="20"/>
    </w:p>
    <w:p w14:paraId="32657CA3" w14:textId="6619E7EF" w:rsidR="00A83DFD" w:rsidRDefault="00A83DFD" w:rsidP="0000118F">
      <w:pPr>
        <w:pStyle w:val="Heading2"/>
      </w:pPr>
      <w:bookmarkStart w:id="21" w:name="_Toc76110784"/>
      <w:r>
        <w:t>Tehokkaan tiheyden malli</w:t>
      </w:r>
      <w:bookmarkEnd w:id="21"/>
    </w:p>
    <w:p w14:paraId="0AE39C09" w14:textId="52E41102" w:rsidR="00B41C0C" w:rsidRPr="00B41C0C" w:rsidRDefault="00B41C0C" w:rsidP="00B41C0C">
      <w:pPr>
        <w:pStyle w:val="BodyText"/>
      </w:pPr>
      <w:r>
        <w:t>Tehokkaan tiheyden mallina käytetään seuraava mallin muotoa:</w:t>
      </w:r>
    </w:p>
    <w:p w14:paraId="77C1A82E" w14:textId="5B1454B0" w:rsidR="00B41C0C" w:rsidRPr="00A83DFD" w:rsidRDefault="00246CCC" w:rsidP="00B41C0C">
      <w:pPr>
        <w:pStyle w:val="BodyText"/>
      </w:pPr>
      <w:r>
        <w:rPr>
          <w:rFonts w:eastAsiaTheme="minorEastAsia"/>
          <w:iCs/>
        </w:rPr>
        <w:t>(4)</w:t>
      </w:r>
      <w:r>
        <w:rPr>
          <w:rFonts w:eastAsiaTheme="minorEastAsia"/>
          <w:iCs/>
        </w:rPr>
        <w:tab/>
      </w:r>
      <m:oMath>
        <m:sSub>
          <m:sSubPr>
            <m:ctrlPr>
              <w:rPr>
                <w:rFonts w:ascii="Cambria Math" w:hAnsi="Cambria Math"/>
                <w:i/>
                <w:iCs/>
              </w:rPr>
            </m:ctrlPr>
          </m:sSubPr>
          <m:e>
            <m:r>
              <w:rPr>
                <w:rFonts w:ascii="Cambria Math" w:hAnsi="Cambria Math"/>
              </w:rPr>
              <m:t>A</m:t>
            </m:r>
          </m:e>
          <m:sub>
            <m:r>
              <w:rPr>
                <w:rFonts w:ascii="Cambria Math" w:hAnsi="Cambria Math"/>
              </w:rPr>
              <m:t>rt</m:t>
            </m:r>
          </m:sub>
        </m:sSub>
        <m:r>
          <w:rPr>
            <w:rFonts w:ascii="Cambria Math" w:hAnsi="Cambria Math"/>
          </w:rPr>
          <m:t>=</m:t>
        </m:r>
        <m:nary>
          <m:naryPr>
            <m:chr m:val="∑"/>
            <m:supHide m:val="1"/>
            <m:ctrlPr>
              <w:rPr>
                <w:rFonts w:ascii="Cambria Math" w:hAnsi="Cambria Math"/>
                <w:i/>
                <w:iCs/>
              </w:rPr>
            </m:ctrlPr>
          </m:naryPr>
          <m:sub>
            <m:sSup>
              <m:sSupPr>
                <m:ctrlPr>
                  <w:rPr>
                    <w:rFonts w:ascii="Cambria Math" w:hAnsi="Cambria Math"/>
                    <w:i/>
                    <w:iCs/>
                  </w:rPr>
                </m:ctrlPr>
              </m:sSupPr>
              <m:e>
                <m:r>
                  <w:rPr>
                    <w:rFonts w:ascii="Cambria Math" w:hAnsi="Cambria Math"/>
                  </w:rPr>
                  <m:t>r</m:t>
                </m:r>
              </m:e>
              <m:sup>
                <m:r>
                  <w:rPr>
                    <w:rFonts w:ascii="Cambria Math" w:hAnsi="Cambria Math"/>
                  </w:rPr>
                  <m:t>'</m:t>
                </m:r>
              </m:sup>
            </m:sSup>
            <m:r>
              <w:rPr>
                <w:rFonts w:ascii="Cambria Math" w:hAnsi="Cambria Math"/>
              </w:rPr>
              <m:t>∈R</m:t>
            </m:r>
          </m:sub>
          <m:sup/>
          <m:e>
            <m:sSup>
              <m:sSupPr>
                <m:ctrlPr>
                  <w:rPr>
                    <w:rFonts w:ascii="Cambria Math" w:hAnsi="Cambria Math"/>
                    <w:i/>
                    <w:iCs/>
                  </w:rPr>
                </m:ctrlPr>
              </m:sSupPr>
              <m:e>
                <m:sSub>
                  <m:sSubPr>
                    <m:ctrlPr>
                      <w:rPr>
                        <w:rFonts w:ascii="Cambria Math" w:hAnsi="Cambria Math"/>
                        <w:i/>
                        <w:iCs/>
                      </w:rPr>
                    </m:ctrlPr>
                  </m:sSubPr>
                  <m:e>
                    <m:sSub>
                      <m:sSubPr>
                        <m:ctrlPr>
                          <w:rPr>
                            <w:rFonts w:ascii="Cambria Math" w:hAnsi="Cambria Math"/>
                            <w:i/>
                            <w:iCs/>
                          </w:rPr>
                        </m:ctrlPr>
                      </m:sSubPr>
                      <m:e>
                        <m:r>
                          <w:rPr>
                            <w:rFonts w:ascii="Cambria Math" w:hAnsi="Cambria Math"/>
                          </w:rPr>
                          <m:t>a</m:t>
                        </m:r>
                      </m:e>
                      <m:sub>
                        <m:r>
                          <w:rPr>
                            <w:rFonts w:ascii="Cambria Math" w:hAnsi="Cambria Math"/>
                          </w:rPr>
                          <m:t>0</m:t>
                        </m:r>
                      </m:sub>
                    </m:sSub>
                    <m:r>
                      <w:rPr>
                        <w:rFonts w:ascii="Cambria Math" w:hAnsi="Cambria Math"/>
                      </w:rPr>
                      <m:t>n</m:t>
                    </m:r>
                  </m:e>
                  <m:sub>
                    <m:r>
                      <w:rPr>
                        <w:rFonts w:ascii="Cambria Math" w:hAnsi="Cambria Math"/>
                      </w:rPr>
                      <m:t>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e</m:t>
                </m:r>
              </m:e>
              <m:sup>
                <m:r>
                  <w:rPr>
                    <w:rFonts w:ascii="Cambria Math" w:hAnsi="Cambria Math"/>
                  </w:rPr>
                  <m:t>b*</m:t>
                </m:r>
                <m:sSub>
                  <m:sSubPr>
                    <m:ctrlPr>
                      <w:rPr>
                        <w:rFonts w:ascii="Cambria Math" w:hAnsi="Cambria Math"/>
                        <w:i/>
                        <w:iCs/>
                      </w:rPr>
                    </m:ctrlPr>
                  </m:sSubPr>
                  <m:e>
                    <m:r>
                      <w:rPr>
                        <w:rFonts w:ascii="Cambria Math" w:hAnsi="Cambria Math"/>
                      </w:rPr>
                      <m:t>gc</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sup>
            </m:sSup>
          </m:e>
        </m:nary>
      </m:oMath>
    </w:p>
    <w:p w14:paraId="5B5DDF93" w14:textId="3F9F94D6" w:rsidR="00B41C0C" w:rsidRPr="00A83DFD" w:rsidRDefault="0040610B" w:rsidP="00B41C0C">
      <w:pPr>
        <w:pStyle w:val="BodyText"/>
      </w:pPr>
      <m:oMath>
        <m:sSub>
          <m:sSubPr>
            <m:ctrlPr>
              <w:rPr>
                <w:rFonts w:ascii="Cambria Math" w:hAnsi="Cambria Math"/>
                <w:i/>
                <w:iCs/>
              </w:rPr>
            </m:ctrlPr>
          </m:sSubPr>
          <m:e>
            <m:r>
              <w:rPr>
                <w:rFonts w:ascii="Cambria Math" w:hAnsi="Cambria Math"/>
              </w:rPr>
              <m:t>A</m:t>
            </m:r>
          </m:e>
          <m:sub>
            <m:r>
              <w:rPr>
                <w:rFonts w:ascii="Cambria Math" w:hAnsi="Cambria Math"/>
              </w:rPr>
              <m:t>rt</m:t>
            </m:r>
          </m:sub>
        </m:sSub>
      </m:oMath>
      <w:r w:rsidR="00B41C0C" w:rsidRPr="00A83DFD">
        <w:t xml:space="preserve"> = </w:t>
      </w:r>
      <w:r w:rsidR="00A65C75">
        <w:t>a</w:t>
      </w:r>
      <w:r w:rsidR="00B41C0C" w:rsidRPr="00A83DFD">
        <w:t>lueen r tehokas tiheys ajan hetkellä t</w:t>
      </w:r>
    </w:p>
    <w:p w14:paraId="3B56F5C6" w14:textId="1A6740F3" w:rsidR="00B41C0C" w:rsidRPr="00A83DFD" w:rsidRDefault="0040610B" w:rsidP="00B41C0C">
      <w:pPr>
        <w:pStyle w:val="BodyText"/>
      </w:pPr>
      <m:oMath>
        <m:sSub>
          <m:sSubPr>
            <m:ctrlPr>
              <w:rPr>
                <w:rFonts w:ascii="Cambria Math" w:hAnsi="Cambria Math"/>
                <w:i/>
                <w:iCs/>
              </w:rPr>
            </m:ctrlPr>
          </m:sSubPr>
          <m:e>
            <m:r>
              <w:rPr>
                <w:rFonts w:ascii="Cambria Math" w:hAnsi="Cambria Math"/>
              </w:rPr>
              <m:t>gc</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oMath>
      <w:r w:rsidR="00B41C0C" w:rsidRPr="00A83DFD">
        <w:t xml:space="preserve"> = </w:t>
      </w:r>
      <w:r w:rsidR="00B41C0C">
        <w:t>etäisyysmitta</w:t>
      </w:r>
      <w:r w:rsidR="00B41C0C" w:rsidRPr="00A83DFD">
        <w:t xml:space="preserve"> alueiden </w:t>
      </w:r>
      <m:oMath>
        <m:r>
          <w:rPr>
            <w:rFonts w:ascii="Cambria Math" w:hAnsi="Cambria Math"/>
          </w:rPr>
          <m:t>r ja </m:t>
        </m:r>
        <m:sSup>
          <m:sSupPr>
            <m:ctrlPr>
              <w:rPr>
                <w:rFonts w:ascii="Cambria Math" w:hAnsi="Cambria Math"/>
                <w:i/>
                <w:iCs/>
              </w:rPr>
            </m:ctrlPr>
          </m:sSupPr>
          <m:e>
            <m:r>
              <w:rPr>
                <w:rFonts w:ascii="Cambria Math" w:hAnsi="Cambria Math"/>
              </w:rPr>
              <m:t>r</m:t>
            </m:r>
          </m:e>
          <m:sup>
            <m:r>
              <w:rPr>
                <w:rFonts w:ascii="Cambria Math" w:hAnsi="Cambria Math"/>
              </w:rPr>
              <m:t>'</m:t>
            </m:r>
          </m:sup>
        </m:sSup>
      </m:oMath>
      <w:r w:rsidR="00B41C0C" w:rsidRPr="00A83DFD">
        <w:t xml:space="preserve"> välillä ajan hetkellä t</w:t>
      </w:r>
    </w:p>
    <w:p w14:paraId="121F91F0" w14:textId="3F81D89F" w:rsidR="00B41C0C" w:rsidRPr="00A83DFD" w:rsidRDefault="0040610B" w:rsidP="00B41C0C">
      <w:pPr>
        <w:pStyle w:val="BodyText"/>
      </w:pPr>
      <m:oMath>
        <m:sSub>
          <m:sSubPr>
            <m:ctrlPr>
              <w:rPr>
                <w:rFonts w:ascii="Cambria Math" w:hAnsi="Cambria Math"/>
                <w:i/>
                <w:iCs/>
              </w:rPr>
            </m:ctrlPr>
          </m:sSubPr>
          <m:e>
            <m:r>
              <w:rPr>
                <w:rFonts w:ascii="Cambria Math" w:hAnsi="Cambria Math"/>
              </w:rPr>
              <m:t>n</m:t>
            </m:r>
          </m:e>
          <m:sub>
            <m:r>
              <w:rPr>
                <w:rFonts w:ascii="Cambria Math" w:hAnsi="Cambria Math"/>
              </w:rPr>
              <m:t>mt</m:t>
            </m:r>
            <m:sSup>
              <m:sSupPr>
                <m:ctrlPr>
                  <w:rPr>
                    <w:rFonts w:ascii="Cambria Math" w:hAnsi="Cambria Math"/>
                    <w:i/>
                    <w:iCs/>
                  </w:rPr>
                </m:ctrlPr>
              </m:sSupPr>
              <m:e>
                <m:r>
                  <w:rPr>
                    <w:rFonts w:ascii="Cambria Math" w:hAnsi="Cambria Math"/>
                  </w:rPr>
                  <m:t>r</m:t>
                </m:r>
              </m:e>
              <m:sup>
                <m:r>
                  <w:rPr>
                    <w:rFonts w:ascii="Cambria Math" w:hAnsi="Cambria Math"/>
                  </w:rPr>
                  <m:t>'</m:t>
                </m:r>
              </m:sup>
            </m:sSup>
          </m:sub>
        </m:sSub>
      </m:oMath>
      <w:r w:rsidR="00B41C0C" w:rsidRPr="00A83DFD">
        <w:t xml:space="preserve"> = alueen </w:t>
      </w:r>
      <m:oMath>
        <m:sSup>
          <m:sSupPr>
            <m:ctrlPr>
              <w:rPr>
                <w:rFonts w:ascii="Cambria Math" w:hAnsi="Cambria Math"/>
                <w:i/>
                <w:iCs/>
              </w:rPr>
            </m:ctrlPr>
          </m:sSupPr>
          <m:e>
            <m:r>
              <w:rPr>
                <w:rFonts w:ascii="Cambria Math" w:hAnsi="Cambria Math"/>
              </w:rPr>
              <m:t>r</m:t>
            </m:r>
          </m:e>
          <m:sup>
            <m:r>
              <w:rPr>
                <w:rFonts w:ascii="Cambria Math" w:hAnsi="Cambria Math"/>
              </w:rPr>
              <m:t>'</m:t>
            </m:r>
          </m:sup>
        </m:sSup>
      </m:oMath>
      <w:r w:rsidR="00B41C0C" w:rsidRPr="00A83DFD">
        <w:t xml:space="preserve"> t</w:t>
      </w:r>
      <w:r w:rsidR="00B41C0C">
        <w:t>aloudellinen massa</w:t>
      </w:r>
      <w:r w:rsidR="00B41C0C" w:rsidRPr="00A83DFD">
        <w:t xml:space="preserve"> ajan hetkellä t</w:t>
      </w:r>
    </w:p>
    <w:p w14:paraId="6E3B2E30" w14:textId="20F9730D" w:rsidR="00A83DFD" w:rsidRPr="00A83DFD" w:rsidRDefault="0040610B" w:rsidP="003806D8">
      <w:pPr>
        <w:pStyle w:val="BodyText"/>
      </w:pPr>
      <m:oMath>
        <m:sSub>
          <m:sSubPr>
            <m:ctrlPr>
              <w:rPr>
                <w:rFonts w:ascii="Cambria Math" w:hAnsi="Cambria Math"/>
                <w:i/>
                <w:iCs/>
              </w:rPr>
            </m:ctrlPr>
          </m:sSubPr>
          <m:e>
            <m:r>
              <w:rPr>
                <w:rFonts w:ascii="Cambria Math" w:hAnsi="Cambria Math"/>
              </w:rPr>
              <m:t>a</m:t>
            </m:r>
          </m:e>
          <m:sub>
            <m:r>
              <w:rPr>
                <w:rFonts w:ascii="Cambria Math" w:hAnsi="Cambria Math"/>
              </w:rPr>
              <m:t>0</m:t>
            </m:r>
          </m:sub>
        </m:sSub>
        <m:r>
          <w:rPr>
            <w:rFonts w:ascii="Cambria Math" w:hAnsi="Cambria Math"/>
          </w:rPr>
          <m:t> </m:t>
        </m:r>
      </m:oMath>
      <w:r w:rsidR="00B41C0C" w:rsidRPr="00A83DFD">
        <w:t>,b = e</w:t>
      </w:r>
      <w:r w:rsidR="00B41C0C">
        <w:t>täisyyden merkitystä (vaimenemista) kuvaavat parametrit.</w:t>
      </w:r>
    </w:p>
    <w:p w14:paraId="66D458FA" w14:textId="4F6D626B" w:rsidR="0000118F" w:rsidRDefault="0000118F" w:rsidP="0000118F">
      <w:pPr>
        <w:pStyle w:val="Heading2"/>
      </w:pPr>
      <w:bookmarkStart w:id="22" w:name="_Toc76110785"/>
      <w:r>
        <w:t>Aluejako</w:t>
      </w:r>
      <w:bookmarkEnd w:id="22"/>
    </w:p>
    <w:p w14:paraId="20C9AD3F" w14:textId="618C84ED" w:rsidR="00452FAE" w:rsidRDefault="001849C3" w:rsidP="001849C3">
      <w:pPr>
        <w:pStyle w:val="BodyText"/>
      </w:pPr>
      <w:r>
        <w:t>Tehokas tiheys määritetään tarkoitusta palvelevalle aluejaolle tarvittavien tietoaineistojen ja laskentatarkkuuden määrittämissä puitteissa. Tehokkaan tiheyden ja tuottavuuden välisen jouston estimointia varten laskenta tehdään mahdollisimman tarkalle aluetasolle, kuten ruutuihin.</w:t>
      </w:r>
    </w:p>
    <w:p w14:paraId="5085A8B4" w14:textId="6C7A7D52" w:rsidR="00452FAE" w:rsidRDefault="001849C3" w:rsidP="001849C3">
      <w:pPr>
        <w:pStyle w:val="BodyText"/>
      </w:pPr>
      <w:r>
        <w:t xml:space="preserve">Liikennejärjestelmämuutosten vaikutusarvioinnissa aikanaan laskenta </w:t>
      </w:r>
      <w:r w:rsidR="00452FAE">
        <w:t xml:space="preserve">tehdään liikennemallin </w:t>
      </w:r>
      <w:r w:rsidR="0000118F">
        <w:t xml:space="preserve">mukaisessa mahdollisimman tarkassa </w:t>
      </w:r>
      <w:r w:rsidR="00452FAE">
        <w:t>aluejaossa</w:t>
      </w:r>
      <w:r w:rsidR="0000118F">
        <w:t>.</w:t>
      </w:r>
      <w:r w:rsidR="00452FAE">
        <w:t xml:space="preserve"> </w:t>
      </w:r>
      <w:r w:rsidR="0000118F">
        <w:t>K</w:t>
      </w:r>
      <w:r w:rsidR="00452FAE">
        <w:t xml:space="preserve">asautumisvaikutuksen laskentaa varten tehokkaan tiheyden arvot yhdistetään tarvittavalle aluetasolle. On oletettavaa, että kasautumisvaikutusten laskentaan aikanaan määritettävät parametrit esitetään ohjetarkoituksessa esimerkiksi kuntatasolla tai postinumeroaluetasolla. </w:t>
      </w:r>
    </w:p>
    <w:p w14:paraId="7A3B7D66" w14:textId="1CBF779E" w:rsidR="0000118F" w:rsidRDefault="00452FAE" w:rsidP="003806D8">
      <w:pPr>
        <w:pStyle w:val="BodyText"/>
      </w:pPr>
      <w:r>
        <w:t>Tehokkaan tiheyden arvo</w:t>
      </w:r>
      <w:r w:rsidR="0000118F">
        <w:t>t yhdistetään suurempaan aluejakoon</w:t>
      </w:r>
      <w:r w:rsidR="00115E83">
        <w:t xml:space="preserve"> lähtöalueen</w:t>
      </w:r>
      <w:r w:rsidR="0000118F">
        <w:t xml:space="preserve"> työllisten (työpaikkojen) määrän suhteen painotettuna aritmeettisena keskiarv</w:t>
      </w:r>
      <w:r w:rsidR="00115E83">
        <w:t>ona.</w:t>
      </w:r>
    </w:p>
    <w:p w14:paraId="7D009F9F" w14:textId="23B8BCA9" w:rsidR="001849C3" w:rsidRDefault="001849C3" w:rsidP="0000118F">
      <w:pPr>
        <w:pStyle w:val="Heading2"/>
      </w:pPr>
      <w:bookmarkStart w:id="23" w:name="_Toc76110786"/>
      <w:r>
        <w:t>Taloudellinen massa</w:t>
      </w:r>
      <w:bookmarkEnd w:id="23"/>
    </w:p>
    <w:p w14:paraId="012A703F" w14:textId="7A4A3F29" w:rsidR="0000118F" w:rsidRPr="0000118F" w:rsidRDefault="0000118F" w:rsidP="0000118F">
      <w:pPr>
        <w:pStyle w:val="BodyText"/>
      </w:pPr>
      <w:r>
        <w:t>Tehokkaan tiheyden mittarissa käytetään talouden massa</w:t>
      </w:r>
      <w:r w:rsidR="00847E86">
        <w:t>n</w:t>
      </w:r>
      <w:r>
        <w:t xml:space="preserve"> mittana työllisten (työpaikkojen) lukumäärää. </w:t>
      </w:r>
      <w:r w:rsidR="00847E86">
        <w:t xml:space="preserve">Suomen laajempien taloudellisten vaikutusten kehikossa (LVM 2020) kasautumisvaikutukset yhdistetään työpaikkojen väliseen vuorovaikutukseen (ja työmatkat käsitellään työmarkkinavaikutuksissa). </w:t>
      </w:r>
    </w:p>
    <w:p w14:paraId="2B19B903" w14:textId="781094FD" w:rsidR="001849C3" w:rsidRDefault="001849C3" w:rsidP="00847E86">
      <w:pPr>
        <w:pStyle w:val="Heading2"/>
      </w:pPr>
      <w:bookmarkStart w:id="24" w:name="_Toc76110787"/>
      <w:r w:rsidRPr="00630CCA">
        <w:lastRenderedPageBreak/>
        <w:t>Etäisyysmitta</w:t>
      </w:r>
      <w:bookmarkEnd w:id="24"/>
      <w:r>
        <w:t xml:space="preserve"> </w:t>
      </w:r>
    </w:p>
    <w:p w14:paraId="4303FF45" w14:textId="75650214" w:rsidR="001849C3" w:rsidRPr="001849C3" w:rsidRDefault="00847E86" w:rsidP="001849C3">
      <w:pPr>
        <w:pStyle w:val="BodyText"/>
      </w:pPr>
      <w:r>
        <w:t>Etäisyysmittana</w:t>
      </w:r>
      <w:r w:rsidR="001B5FDE">
        <w:t xml:space="preserve"> käytetään osa-alueparin välistä yleistettyä matkakustannusta, joka määritetään eri kulkutapojen osuuksin painotettuna aritmeettisena keskiarvona. </w:t>
      </w:r>
      <w:r w:rsidR="0035425E">
        <w:t>Y</w:t>
      </w:r>
      <w:r w:rsidR="001849C3" w:rsidRPr="001849C3">
        <w:t xml:space="preserve">leistetty matkakustannus kunkin osa-alueparin </w:t>
      </w:r>
      <m:oMath>
        <m:r>
          <w:rPr>
            <w:rFonts w:ascii="Cambria Math" w:hAnsi="Cambria Math"/>
          </w:rPr>
          <m:t>r</m:t>
        </m:r>
        <m:sSup>
          <m:sSupPr>
            <m:ctrlPr>
              <w:rPr>
                <w:rFonts w:ascii="Cambria Math" w:hAnsi="Cambria Math"/>
                <w:i/>
                <w:iCs/>
              </w:rPr>
            </m:ctrlPr>
          </m:sSupPr>
          <m:e>
            <m:r>
              <w:rPr>
                <w:rFonts w:ascii="Cambria Math" w:hAnsi="Cambria Math"/>
              </w:rPr>
              <m:t>r</m:t>
            </m:r>
          </m:e>
          <m:sup>
            <m:r>
              <w:rPr>
                <w:rFonts w:ascii="Cambria Math" w:hAnsi="Cambria Math"/>
              </w:rPr>
              <m:t>'</m:t>
            </m:r>
          </m:sup>
        </m:sSup>
      </m:oMath>
      <w:r w:rsidR="001849C3" w:rsidRPr="001849C3">
        <w:t xml:space="preserve"> välillä </w:t>
      </w:r>
      <w:r w:rsidR="0035425E">
        <w:t xml:space="preserve">määritetään </w:t>
      </w:r>
      <w:r w:rsidR="001849C3" w:rsidRPr="001849C3">
        <w:t>kaavalla:</w:t>
      </w:r>
    </w:p>
    <w:p w14:paraId="0B64CEBD" w14:textId="3A31FE8F" w:rsidR="001849C3" w:rsidRPr="001849C3" w:rsidRDefault="00246CCC" w:rsidP="001849C3">
      <w:pPr>
        <w:pStyle w:val="BodyText"/>
      </w:pPr>
      <w:r>
        <w:rPr>
          <w:rFonts w:eastAsiaTheme="minorEastAsia"/>
          <w:iCs/>
        </w:rPr>
        <w:t>(5)</w:t>
      </w:r>
      <w:r>
        <w:rPr>
          <w:rFonts w:eastAsiaTheme="minorEastAsia"/>
          <w:iCs/>
        </w:rPr>
        <w:tab/>
      </w:r>
      <m:oMath>
        <m:sSub>
          <m:sSubPr>
            <m:ctrlPr>
              <w:rPr>
                <w:rFonts w:ascii="Cambria Math" w:hAnsi="Cambria Math"/>
                <w:i/>
                <w:iCs/>
              </w:rPr>
            </m:ctrlPr>
          </m:sSubPr>
          <m:e>
            <m:r>
              <w:rPr>
                <w:rFonts w:ascii="Cambria Math" w:hAnsi="Cambria Math"/>
              </w:rPr>
              <m:t>gc</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nary>
          <m:naryPr>
            <m:chr m:val="∑"/>
            <m:supHide m:val="1"/>
            <m:ctrlPr>
              <w:rPr>
                <w:rFonts w:ascii="Cambria Math" w:hAnsi="Cambria Math"/>
                <w:i/>
                <w:iCs/>
              </w:rPr>
            </m:ctrlPr>
          </m:naryPr>
          <m:sub>
            <m:r>
              <w:rPr>
                <w:rFonts w:ascii="Cambria Math" w:hAnsi="Cambria Math"/>
              </w:rPr>
              <m:t>m</m:t>
            </m:r>
          </m:sub>
          <m:sup/>
          <m:e>
            <m:sSub>
              <m:sSubPr>
                <m:ctrlPr>
                  <w:rPr>
                    <w:rFonts w:ascii="Cambria Math" w:hAnsi="Cambria Math"/>
                    <w:i/>
                    <w:iCs/>
                  </w:rPr>
                </m:ctrlPr>
              </m:sSubPr>
              <m:e>
                <m:r>
                  <w:rPr>
                    <w:rFonts w:ascii="Cambria Math" w:hAnsi="Cambria Math"/>
                  </w:rPr>
                  <m:t>w(m)</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d>
              <m:dPr>
                <m:begChr m:val="["/>
                <m:endChr m:val="]"/>
                <m:ctrlPr>
                  <w:rPr>
                    <w:rFonts w:ascii="Cambria Math" w:hAnsi="Cambria Math"/>
                    <w:i/>
                    <w:iCs/>
                  </w:rPr>
                </m:ctrlPr>
              </m:dPr>
              <m:e>
                <m:sSub>
                  <m:sSubPr>
                    <m:ctrlPr>
                      <w:rPr>
                        <w:rFonts w:ascii="Cambria Math" w:hAnsi="Cambria Math"/>
                        <w:i/>
                        <w:iCs/>
                      </w:rPr>
                    </m:ctrlPr>
                  </m:sSubPr>
                  <m:e>
                    <m:r>
                      <w:rPr>
                        <w:rFonts w:ascii="Cambria Math" w:hAnsi="Cambria Math"/>
                      </w:rPr>
                      <m:t>c(m)</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sSub>
                  <m:sSubPr>
                    <m:ctrlPr>
                      <w:rPr>
                        <w:rFonts w:ascii="Cambria Math" w:hAnsi="Cambria Math"/>
                        <w:i/>
                        <w:iCs/>
                      </w:rPr>
                    </m:ctrlPr>
                  </m:sSubPr>
                  <m:e>
                    <m:r>
                      <w:rPr>
                        <w:rFonts w:ascii="Cambria Math" w:hAnsi="Cambria Math"/>
                      </w:rPr>
                      <m:t>d</m:t>
                    </m:r>
                    <m:d>
                      <m:dPr>
                        <m:ctrlPr>
                          <w:rPr>
                            <w:rFonts w:ascii="Cambria Math" w:hAnsi="Cambria Math"/>
                            <w:i/>
                            <w:iCs/>
                          </w:rPr>
                        </m:ctrlPr>
                      </m:dPr>
                      <m:e>
                        <m:r>
                          <w:rPr>
                            <w:rFonts w:ascii="Cambria Math" w:hAnsi="Cambria Math"/>
                          </w:rPr>
                          <m:t>m</m:t>
                        </m:r>
                      </m:e>
                    </m:d>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v</m:t>
                </m:r>
              </m:e>
            </m:d>
          </m:e>
        </m:nary>
      </m:oMath>
    </w:p>
    <w:p w14:paraId="355BE5E1" w14:textId="3E529A26" w:rsidR="001849C3" w:rsidRPr="001849C3" w:rsidRDefault="0040610B" w:rsidP="001849C3">
      <w:pPr>
        <w:pStyle w:val="BodyText"/>
      </w:pPr>
      <m:oMath>
        <m:sSub>
          <m:sSubPr>
            <m:ctrlPr>
              <w:rPr>
                <w:rFonts w:ascii="Cambria Math" w:hAnsi="Cambria Math"/>
                <w:i/>
                <w:iCs/>
              </w:rPr>
            </m:ctrlPr>
          </m:sSubPr>
          <m:e>
            <m:r>
              <w:rPr>
                <w:rFonts w:ascii="Cambria Math" w:hAnsi="Cambria Math"/>
              </w:rPr>
              <m:t>w(m)</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oMath>
      <w:r w:rsidR="001849C3" w:rsidRPr="001849C3">
        <w:t xml:space="preserve"> on kulkutavan m suhteellinen osuus osa-alueparin </w:t>
      </w:r>
      <m:oMath>
        <m:r>
          <w:rPr>
            <w:rFonts w:ascii="Cambria Math" w:hAnsi="Cambria Math"/>
          </w:rPr>
          <m:t>r</m:t>
        </m:r>
        <m:sSup>
          <m:sSupPr>
            <m:ctrlPr>
              <w:rPr>
                <w:rFonts w:ascii="Cambria Math" w:hAnsi="Cambria Math"/>
                <w:i/>
                <w:iCs/>
              </w:rPr>
            </m:ctrlPr>
          </m:sSupPr>
          <m:e>
            <m:r>
              <w:rPr>
                <w:rFonts w:ascii="Cambria Math" w:hAnsi="Cambria Math"/>
              </w:rPr>
              <m:t>r</m:t>
            </m:r>
          </m:e>
          <m:sup>
            <m:r>
              <w:rPr>
                <w:rFonts w:ascii="Cambria Math" w:hAnsi="Cambria Math"/>
              </w:rPr>
              <m:t>'</m:t>
            </m:r>
          </m:sup>
        </m:sSup>
      </m:oMath>
      <w:r w:rsidR="001849C3" w:rsidRPr="001849C3">
        <w:t xml:space="preserve"> matkoista</w:t>
      </w:r>
    </w:p>
    <w:p w14:paraId="218EAB94" w14:textId="40454EEF" w:rsidR="001849C3" w:rsidRPr="001849C3" w:rsidRDefault="0040610B" w:rsidP="001849C3">
      <w:pPr>
        <w:pStyle w:val="BodyText"/>
      </w:pPr>
      <m:oMath>
        <m:sSub>
          <m:sSubPr>
            <m:ctrlPr>
              <w:rPr>
                <w:rFonts w:ascii="Cambria Math" w:hAnsi="Cambria Math"/>
                <w:i/>
                <w:iCs/>
              </w:rPr>
            </m:ctrlPr>
          </m:sSubPr>
          <m:e>
            <m:r>
              <w:rPr>
                <w:rFonts w:ascii="Cambria Math" w:hAnsi="Cambria Math"/>
              </w:rPr>
              <m:t>c(m)</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oMath>
      <w:r w:rsidR="001849C3" w:rsidRPr="001849C3">
        <w:t xml:space="preserve"> on kulkutavan m matkan hinta osa-alueparin </w:t>
      </w:r>
      <m:oMath>
        <m:r>
          <w:rPr>
            <w:rFonts w:ascii="Cambria Math" w:hAnsi="Cambria Math"/>
          </w:rPr>
          <m:t>r</m:t>
        </m:r>
        <m:sSup>
          <m:sSupPr>
            <m:ctrlPr>
              <w:rPr>
                <w:rFonts w:ascii="Cambria Math" w:hAnsi="Cambria Math"/>
                <w:i/>
                <w:iCs/>
              </w:rPr>
            </m:ctrlPr>
          </m:sSupPr>
          <m:e>
            <m:r>
              <w:rPr>
                <w:rFonts w:ascii="Cambria Math" w:hAnsi="Cambria Math"/>
              </w:rPr>
              <m:t>r</m:t>
            </m:r>
          </m:e>
          <m:sup>
            <m:r>
              <w:rPr>
                <w:rFonts w:ascii="Cambria Math" w:hAnsi="Cambria Math"/>
              </w:rPr>
              <m:t>'</m:t>
            </m:r>
          </m:sup>
        </m:sSup>
      </m:oMath>
      <w:r w:rsidR="001849C3" w:rsidRPr="001849C3">
        <w:t xml:space="preserve"> välillä</w:t>
      </w:r>
    </w:p>
    <w:p w14:paraId="79590123" w14:textId="43A50D6B" w:rsidR="001849C3" w:rsidRPr="001849C3" w:rsidRDefault="0040610B" w:rsidP="001849C3">
      <w:pPr>
        <w:pStyle w:val="BodyText"/>
      </w:pPr>
      <m:oMath>
        <m:sSub>
          <m:sSubPr>
            <m:ctrlPr>
              <w:rPr>
                <w:rFonts w:ascii="Cambria Math" w:hAnsi="Cambria Math"/>
                <w:i/>
                <w:iCs/>
              </w:rPr>
            </m:ctrlPr>
          </m:sSubPr>
          <m:e>
            <m:r>
              <w:rPr>
                <w:rFonts w:ascii="Cambria Math" w:hAnsi="Cambria Math"/>
              </w:rPr>
              <m:t>d</m:t>
            </m:r>
            <m:d>
              <m:dPr>
                <m:ctrlPr>
                  <w:rPr>
                    <w:rFonts w:ascii="Cambria Math" w:hAnsi="Cambria Math"/>
                    <w:i/>
                    <w:iCs/>
                  </w:rPr>
                </m:ctrlPr>
              </m:dPr>
              <m:e>
                <m:r>
                  <w:rPr>
                    <w:rFonts w:ascii="Cambria Math" w:hAnsi="Cambria Math"/>
                  </w:rPr>
                  <m:t>m</m:t>
                </m:r>
              </m:e>
            </m:d>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oMath>
      <w:r w:rsidR="001849C3" w:rsidRPr="001849C3">
        <w:t xml:space="preserve"> on kulkutavan m matka-aika osa-alueparin </w:t>
      </w:r>
      <m:oMath>
        <m:r>
          <w:rPr>
            <w:rFonts w:ascii="Cambria Math" w:hAnsi="Cambria Math"/>
          </w:rPr>
          <m:t>r</m:t>
        </m:r>
        <m:sSup>
          <m:sSupPr>
            <m:ctrlPr>
              <w:rPr>
                <w:rFonts w:ascii="Cambria Math" w:hAnsi="Cambria Math"/>
                <w:i/>
                <w:iCs/>
              </w:rPr>
            </m:ctrlPr>
          </m:sSupPr>
          <m:e>
            <m:r>
              <w:rPr>
                <w:rFonts w:ascii="Cambria Math" w:hAnsi="Cambria Math"/>
              </w:rPr>
              <m:t>r</m:t>
            </m:r>
          </m:e>
          <m:sup>
            <m:r>
              <w:rPr>
                <w:rFonts w:ascii="Cambria Math" w:hAnsi="Cambria Math"/>
              </w:rPr>
              <m:t>'</m:t>
            </m:r>
          </m:sup>
        </m:sSup>
      </m:oMath>
      <w:r w:rsidR="001849C3" w:rsidRPr="001849C3">
        <w:t xml:space="preserve"> välillä</w:t>
      </w:r>
    </w:p>
    <w:p w14:paraId="732090D1" w14:textId="77777777" w:rsidR="00906736" w:rsidRDefault="001849C3" w:rsidP="001849C3">
      <w:pPr>
        <w:pStyle w:val="BodyText"/>
      </w:pPr>
      <m:oMath>
        <m:r>
          <w:rPr>
            <w:rFonts w:ascii="Cambria Math" w:hAnsi="Cambria Math"/>
          </w:rPr>
          <m:t>v</m:t>
        </m:r>
      </m:oMath>
      <w:r w:rsidRPr="001849C3">
        <w:t xml:space="preserve"> on ajan arvo työ</w:t>
      </w:r>
      <w:r w:rsidR="002B5732">
        <w:t xml:space="preserve">peräisillä </w:t>
      </w:r>
      <w:r w:rsidRPr="001849C3">
        <w:t>matkoilla</w:t>
      </w:r>
      <w:r w:rsidR="0035425E">
        <w:t>.</w:t>
      </w:r>
      <w:r w:rsidRPr="001849C3">
        <w:t xml:space="preserve"> </w:t>
      </w:r>
    </w:p>
    <w:p w14:paraId="14DB6490" w14:textId="5EB2E7AB" w:rsidR="001849C3" w:rsidRPr="00630CCA" w:rsidRDefault="00906736" w:rsidP="003806D8">
      <w:pPr>
        <w:pStyle w:val="BodyText"/>
      </w:pPr>
      <w:r w:rsidRPr="003806D8">
        <w:t>Tässä työssä käytetty ajan arvo perustuu tie- ja rautatieliikenteen hankearvioinnin yksikköarvoihin, jossa on esitetty työ</w:t>
      </w:r>
      <w:r w:rsidR="00A0446C" w:rsidRPr="003806D8">
        <w:t xml:space="preserve">peräisille </w:t>
      </w:r>
      <w:r w:rsidRPr="003806D8">
        <w:t>ma</w:t>
      </w:r>
      <w:r w:rsidR="00046C96" w:rsidRPr="003806D8">
        <w:t>t</w:t>
      </w:r>
      <w:r w:rsidRPr="003806D8">
        <w:t>koill</w:t>
      </w:r>
      <w:r w:rsidR="00A0446C" w:rsidRPr="003806D8">
        <w:t>e</w:t>
      </w:r>
      <w:r w:rsidRPr="003806D8">
        <w:t xml:space="preserve"> henkilöautoliikenteen ja linja-autoliikenteen ajan arvoiksi 24,60 euroa / tunti</w:t>
      </w:r>
      <w:r w:rsidR="00046C96" w:rsidRPr="003806D8">
        <w:t xml:space="preserve"> (Väylävirasto 2020)</w:t>
      </w:r>
      <w:r w:rsidRPr="003806D8">
        <w:t>. Tässä työssä on käytetty samaa arvoa myös muilla joukkoliikennevälineil</w:t>
      </w:r>
      <w:r w:rsidR="00046C96" w:rsidRPr="003806D8">
        <w:t>lä, kävelymatkoilla ja pyöräliikenteellä.</w:t>
      </w:r>
      <w:r>
        <w:t xml:space="preserve"> </w:t>
      </w:r>
    </w:p>
    <w:p w14:paraId="3FADA2D5" w14:textId="77777777" w:rsidR="001849C3" w:rsidRPr="00630CCA" w:rsidRDefault="001849C3" w:rsidP="00B41C0C">
      <w:pPr>
        <w:pStyle w:val="Heading2"/>
      </w:pPr>
      <w:bookmarkStart w:id="25" w:name="_Toc76110788"/>
      <w:r w:rsidRPr="00630CCA">
        <w:t>Etäisyyden merkitys</w:t>
      </w:r>
      <w:r>
        <w:t xml:space="preserve"> funktiona</w:t>
      </w:r>
      <w:bookmarkEnd w:id="25"/>
    </w:p>
    <w:p w14:paraId="6DD6701A" w14:textId="205074DE" w:rsidR="00B41C0C" w:rsidRDefault="00A83DFD" w:rsidP="00A83DFD">
      <w:pPr>
        <w:pStyle w:val="BodyText"/>
        <w:rPr>
          <w:color w:val="FF0000"/>
        </w:rPr>
      </w:pPr>
      <w:r>
        <w:t>Vaimenemis</w:t>
      </w:r>
      <w:r w:rsidR="00B41C0C">
        <w:t>ta kuvaavat kertoimet</w:t>
      </w:r>
      <w:r>
        <w:t xml:space="preserve"> määritettiin </w:t>
      </w:r>
      <w:r w:rsidRPr="00A83DFD">
        <w:t xml:space="preserve">optimoimalla Helsingin seudun liikennemallin (Helmet 4.0) </w:t>
      </w:r>
      <w:r w:rsidRPr="006E72BE">
        <w:t>generoimat työ</w:t>
      </w:r>
      <w:r w:rsidR="00A65C75" w:rsidRPr="006E72BE">
        <w:t xml:space="preserve">peräisten </w:t>
      </w:r>
      <w:r w:rsidRPr="006E72BE">
        <w:t>matkojen matkatuotokset gravitaatiomallin avulla määräpaikkoihin, niin että ero HELMET-mallin</w:t>
      </w:r>
      <w:r w:rsidRPr="00A83DFD">
        <w:t xml:space="preserve"> ennusteen ja gravitaatiomalin tuottaman ennusteen välillä oli mahdollisimman pieni (pienimmän neliösumman menetelmällä).</w:t>
      </w:r>
    </w:p>
    <w:p w14:paraId="767569C3" w14:textId="58543CC8" w:rsidR="00A83DFD" w:rsidRDefault="00B41C0C" w:rsidP="00A83DFD">
      <w:pPr>
        <w:pStyle w:val="BodyText"/>
      </w:pPr>
      <w:r>
        <w:t>Parametrit määritettiin kahdelle eri mallin muodolle, ensin kaikille toimialoille yhteisenä ja toiseksi viisi toimialaryhmää</w:t>
      </w:r>
      <w:r w:rsidR="00A76B5E">
        <w:t xml:space="preserve"> (palvelut, kauppa, kuljetus, teollisuus, muut) </w:t>
      </w:r>
      <w:r>
        <w:t>erotellen.</w:t>
      </w:r>
    </w:p>
    <w:p w14:paraId="2D11E9D0" w14:textId="3019A9BA" w:rsidR="00B41C0C" w:rsidRDefault="00B41C0C" w:rsidP="00A83DFD">
      <w:pPr>
        <w:pStyle w:val="BodyText"/>
      </w:pPr>
      <w:r>
        <w:t>Kaikille toimialoille yhteinen</w:t>
      </w:r>
      <w:r w:rsidR="00EA7F71">
        <w:t xml:space="preserve"> malli</w:t>
      </w:r>
      <w:r>
        <w:t>:</w:t>
      </w:r>
    </w:p>
    <w:p w14:paraId="498A04BC" w14:textId="4FD4A57C" w:rsidR="00A83DFD" w:rsidRPr="00A83DFD" w:rsidRDefault="00246CCC" w:rsidP="00A83DFD">
      <w:pPr>
        <w:pStyle w:val="BodyText"/>
      </w:pPr>
      <w:r>
        <w:rPr>
          <w:rFonts w:eastAsiaTheme="minorEastAsia"/>
          <w:iCs/>
        </w:rPr>
        <w:t>(6)</w:t>
      </w:r>
      <w:r>
        <w:rPr>
          <w:rFonts w:eastAsiaTheme="minorEastAsia"/>
          <w:iCs/>
        </w:rPr>
        <w:tab/>
      </w:r>
      <m:oMath>
        <m:sSub>
          <m:sSubPr>
            <m:ctrlPr>
              <w:rPr>
                <w:rFonts w:ascii="Cambria Math" w:hAnsi="Cambria Math"/>
                <w:i/>
                <w:iCs/>
              </w:rPr>
            </m:ctrlPr>
          </m:sSubPr>
          <m:e>
            <m:r>
              <w:rPr>
                <w:rFonts w:ascii="Cambria Math" w:hAnsi="Cambria Math"/>
              </w:rPr>
              <m:t>A</m:t>
            </m:r>
          </m:e>
          <m:sub>
            <m:r>
              <w:rPr>
                <w:rFonts w:ascii="Cambria Math" w:hAnsi="Cambria Math"/>
              </w:rPr>
              <m:t>rt</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0</m:t>
            </m:r>
          </m:sub>
        </m:sSub>
        <m:nary>
          <m:naryPr>
            <m:chr m:val="∑"/>
            <m:supHide m:val="1"/>
            <m:ctrlPr>
              <w:rPr>
                <w:rFonts w:ascii="Cambria Math" w:hAnsi="Cambria Math"/>
                <w:i/>
                <w:iCs/>
              </w:rPr>
            </m:ctrlPr>
          </m:naryPr>
          <m:sub>
            <m:sSup>
              <m:sSupPr>
                <m:ctrlPr>
                  <w:rPr>
                    <w:rFonts w:ascii="Cambria Math" w:hAnsi="Cambria Math"/>
                    <w:i/>
                    <w:iCs/>
                  </w:rPr>
                </m:ctrlPr>
              </m:sSupPr>
              <m:e>
                <m:r>
                  <w:rPr>
                    <w:rFonts w:ascii="Cambria Math" w:hAnsi="Cambria Math"/>
                  </w:rPr>
                  <m:t>r</m:t>
                </m:r>
              </m:e>
              <m:sup>
                <m:r>
                  <w:rPr>
                    <w:rFonts w:ascii="Cambria Math" w:hAnsi="Cambria Math"/>
                  </w:rPr>
                  <m:t>'</m:t>
                </m:r>
              </m:sup>
            </m:sSup>
            <m:r>
              <w:rPr>
                <w:rFonts w:ascii="Cambria Math" w:hAnsi="Cambria Math"/>
              </w:rPr>
              <m:t>∈R</m:t>
            </m:r>
          </m:sub>
          <m:sup/>
          <m:e>
            <m:sSup>
              <m:sSupPr>
                <m:ctrlPr>
                  <w:rPr>
                    <w:rFonts w:ascii="Cambria Math" w:hAnsi="Cambria Math"/>
                    <w:i/>
                    <w:iCs/>
                  </w:rPr>
                </m:ctrlPr>
              </m:sSupPr>
              <m:e>
                <m:sSub>
                  <m:sSubPr>
                    <m:ctrlPr>
                      <w:rPr>
                        <w:rFonts w:ascii="Cambria Math" w:hAnsi="Cambria Math"/>
                        <w:i/>
                        <w:iCs/>
                      </w:rPr>
                    </m:ctrlPr>
                  </m:sSubPr>
                  <m:e>
                    <m:r>
                      <w:rPr>
                        <w:rFonts w:ascii="Cambria Math" w:hAnsi="Cambria Math"/>
                      </w:rPr>
                      <m:t>n</m:t>
                    </m:r>
                  </m:e>
                  <m:sub>
                    <m:r>
                      <w:rPr>
                        <w:rFonts w:ascii="Cambria Math" w:hAnsi="Cambria Math"/>
                      </w:rPr>
                      <m:t>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e</m:t>
                </m:r>
              </m:e>
              <m:sup>
                <m:r>
                  <w:rPr>
                    <w:rFonts w:ascii="Cambria Math" w:hAnsi="Cambria Math"/>
                  </w:rPr>
                  <m:t>b*</m:t>
                </m:r>
                <m:sSub>
                  <m:sSubPr>
                    <m:ctrlPr>
                      <w:rPr>
                        <w:rFonts w:ascii="Cambria Math" w:hAnsi="Cambria Math"/>
                        <w:i/>
                        <w:iCs/>
                      </w:rPr>
                    </m:ctrlPr>
                  </m:sSubPr>
                  <m:e>
                    <m:r>
                      <w:rPr>
                        <w:rFonts w:ascii="Cambria Math" w:hAnsi="Cambria Math"/>
                      </w:rPr>
                      <m:t>gc</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sup>
            </m:sSup>
          </m:e>
        </m:nary>
      </m:oMath>
    </w:p>
    <w:p w14:paraId="4EE46A2D" w14:textId="5AED1A6A" w:rsidR="00A83DFD" w:rsidRPr="00A83DFD" w:rsidRDefault="0040610B" w:rsidP="00246CCC">
      <w:pPr>
        <w:pStyle w:val="BodyText"/>
      </w:pPr>
      <m:oMath>
        <m:sSub>
          <m:sSubPr>
            <m:ctrlPr>
              <w:rPr>
                <w:rFonts w:ascii="Cambria Math" w:hAnsi="Cambria Math"/>
                <w:i/>
                <w:iCs/>
              </w:rPr>
            </m:ctrlPr>
          </m:sSubPr>
          <m:e>
            <m:r>
              <w:rPr>
                <w:rFonts w:ascii="Cambria Math" w:hAnsi="Cambria Math"/>
              </w:rPr>
              <m:t>A</m:t>
            </m:r>
          </m:e>
          <m:sub>
            <m:r>
              <w:rPr>
                <w:rFonts w:ascii="Cambria Math" w:hAnsi="Cambria Math"/>
              </w:rPr>
              <m:t>rt</m:t>
            </m:r>
          </m:sub>
        </m:sSub>
      </m:oMath>
      <w:r w:rsidR="00A83DFD" w:rsidRPr="00A83DFD">
        <w:t xml:space="preserve"> = Alueen r tehokas tiheys ajan hetkellä t</w:t>
      </w:r>
    </w:p>
    <w:p w14:paraId="2BCA1DEF" w14:textId="10268A90" w:rsidR="00A83DFD" w:rsidRPr="00A83DFD" w:rsidRDefault="0040610B" w:rsidP="00246CCC">
      <w:pPr>
        <w:pStyle w:val="BodyText"/>
      </w:pPr>
      <m:oMath>
        <m:sSub>
          <m:sSubPr>
            <m:ctrlPr>
              <w:rPr>
                <w:rFonts w:ascii="Cambria Math" w:hAnsi="Cambria Math"/>
                <w:i/>
                <w:iCs/>
              </w:rPr>
            </m:ctrlPr>
          </m:sSubPr>
          <m:e>
            <m:r>
              <w:rPr>
                <w:rFonts w:ascii="Cambria Math" w:hAnsi="Cambria Math"/>
              </w:rPr>
              <m:t>gc</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oMath>
      <w:r w:rsidR="00A83DFD" w:rsidRPr="00A83DFD">
        <w:t xml:space="preserve"> = yleistetty matkavastus alueiden </w:t>
      </w:r>
      <m:oMath>
        <m:r>
          <w:rPr>
            <w:rFonts w:ascii="Cambria Math" w:hAnsi="Cambria Math"/>
          </w:rPr>
          <m:t>r ja </m:t>
        </m:r>
        <m:sSup>
          <m:sSupPr>
            <m:ctrlPr>
              <w:rPr>
                <w:rFonts w:ascii="Cambria Math" w:hAnsi="Cambria Math"/>
                <w:i/>
                <w:iCs/>
              </w:rPr>
            </m:ctrlPr>
          </m:sSupPr>
          <m:e>
            <m:r>
              <w:rPr>
                <w:rFonts w:ascii="Cambria Math" w:hAnsi="Cambria Math"/>
              </w:rPr>
              <m:t>r</m:t>
            </m:r>
          </m:e>
          <m:sup>
            <m:r>
              <w:rPr>
                <w:rFonts w:ascii="Cambria Math" w:hAnsi="Cambria Math"/>
              </w:rPr>
              <m:t>'</m:t>
            </m:r>
          </m:sup>
        </m:sSup>
      </m:oMath>
      <w:r w:rsidR="00A83DFD" w:rsidRPr="00A83DFD">
        <w:t xml:space="preserve"> välillä ajan hetkellä t</w:t>
      </w:r>
    </w:p>
    <w:p w14:paraId="03EB2EA6" w14:textId="2A41B1D5" w:rsidR="00A83DFD" w:rsidRPr="00A83DFD" w:rsidRDefault="0040610B" w:rsidP="00246CCC">
      <w:pPr>
        <w:pStyle w:val="BodyText"/>
      </w:pPr>
      <m:oMath>
        <m:sSub>
          <m:sSubPr>
            <m:ctrlPr>
              <w:rPr>
                <w:rFonts w:ascii="Cambria Math" w:hAnsi="Cambria Math"/>
                <w:i/>
                <w:iCs/>
              </w:rPr>
            </m:ctrlPr>
          </m:sSubPr>
          <m:e>
            <m:r>
              <w:rPr>
                <w:rFonts w:ascii="Cambria Math" w:hAnsi="Cambria Math"/>
              </w:rPr>
              <m:t>n</m:t>
            </m:r>
          </m:e>
          <m:sub>
            <m:r>
              <w:rPr>
                <w:rFonts w:ascii="Cambria Math" w:hAnsi="Cambria Math"/>
              </w:rPr>
              <m:t>mt</m:t>
            </m:r>
            <m:sSup>
              <m:sSupPr>
                <m:ctrlPr>
                  <w:rPr>
                    <w:rFonts w:ascii="Cambria Math" w:hAnsi="Cambria Math"/>
                    <w:i/>
                    <w:iCs/>
                  </w:rPr>
                </m:ctrlPr>
              </m:sSupPr>
              <m:e>
                <m:r>
                  <w:rPr>
                    <w:rFonts w:ascii="Cambria Math" w:hAnsi="Cambria Math"/>
                  </w:rPr>
                  <m:t>r</m:t>
                </m:r>
              </m:e>
              <m:sup>
                <m:r>
                  <w:rPr>
                    <w:rFonts w:ascii="Cambria Math" w:hAnsi="Cambria Math"/>
                  </w:rPr>
                  <m:t>'</m:t>
                </m:r>
              </m:sup>
            </m:sSup>
          </m:sub>
        </m:sSub>
      </m:oMath>
      <w:r w:rsidR="00A83DFD" w:rsidRPr="00A83DFD">
        <w:t xml:space="preserve"> = alueen </w:t>
      </w:r>
      <m:oMath>
        <m:sSup>
          <m:sSupPr>
            <m:ctrlPr>
              <w:rPr>
                <w:rFonts w:ascii="Cambria Math" w:hAnsi="Cambria Math"/>
                <w:i/>
                <w:iCs/>
              </w:rPr>
            </m:ctrlPr>
          </m:sSupPr>
          <m:e>
            <m:r>
              <w:rPr>
                <w:rFonts w:ascii="Cambria Math" w:hAnsi="Cambria Math"/>
              </w:rPr>
              <m:t>r</m:t>
            </m:r>
          </m:e>
          <m:sup>
            <m:r>
              <w:rPr>
                <w:rFonts w:ascii="Cambria Math" w:hAnsi="Cambria Math"/>
              </w:rPr>
              <m:t>'</m:t>
            </m:r>
          </m:sup>
        </m:sSup>
      </m:oMath>
      <w:r w:rsidR="00A83DFD" w:rsidRPr="00A83DFD">
        <w:t xml:space="preserve"> työpaikkamäärä ajan hetkellä t</w:t>
      </w:r>
    </w:p>
    <w:p w14:paraId="7F34EF3F" w14:textId="7CA9DDA7" w:rsidR="00B41C0C" w:rsidRDefault="0040610B" w:rsidP="00246CCC">
      <w:pPr>
        <w:pStyle w:val="BodyText"/>
      </w:pPr>
      <m:oMath>
        <m:sSub>
          <m:sSubPr>
            <m:ctrlPr>
              <w:rPr>
                <w:rFonts w:ascii="Cambria Math" w:hAnsi="Cambria Math"/>
                <w:i/>
                <w:iCs/>
              </w:rPr>
            </m:ctrlPr>
          </m:sSubPr>
          <m:e>
            <m:r>
              <w:rPr>
                <w:rFonts w:ascii="Cambria Math" w:hAnsi="Cambria Math"/>
              </w:rPr>
              <m:t>a</m:t>
            </m:r>
          </m:e>
          <m:sub>
            <m:r>
              <w:rPr>
                <w:rFonts w:ascii="Cambria Math" w:hAnsi="Cambria Math"/>
              </w:rPr>
              <m:t>0</m:t>
            </m:r>
          </m:sub>
        </m:sSub>
      </m:oMath>
      <w:r w:rsidR="00A83DFD" w:rsidRPr="00A83DFD">
        <w:t xml:space="preserve"> = </w:t>
      </w:r>
      <w:r w:rsidR="00046C96" w:rsidRPr="006E72BE">
        <w:t>skaalausvakio, joka on tässä työssä määritelty niin</w:t>
      </w:r>
      <w:r w:rsidR="006F0820" w:rsidRPr="006E72BE">
        <w:t>,</w:t>
      </w:r>
      <w:r w:rsidR="00046C96" w:rsidRPr="006E72BE">
        <w:t xml:space="preserve"> että suurin tehokas tiheys HELMET-mallin alueella saa arvon 1000 vuoden </w:t>
      </w:r>
      <w:r w:rsidR="006F0820" w:rsidRPr="006E72BE">
        <w:t>2020 tilanteessa</w:t>
      </w:r>
      <w:r w:rsidR="00B77499" w:rsidRPr="006E72BE">
        <w:t xml:space="preserve"> (</w:t>
      </w:r>
      <w:r w:rsidR="00046C96" w:rsidRPr="006E72BE">
        <w:t>jolloin skaalausvakion arvo on</w:t>
      </w:r>
      <w:r w:rsidR="006F0820" w:rsidRPr="006E72BE">
        <w:t xml:space="preserve"> 0,03247</w:t>
      </w:r>
      <w:r w:rsidR="00B77499" w:rsidRPr="006E72BE">
        <w:t>)</w:t>
      </w:r>
    </w:p>
    <w:p w14:paraId="085E66D1" w14:textId="582DC650" w:rsidR="00A76B5E" w:rsidRPr="00A83DFD" w:rsidRDefault="00A76B5E" w:rsidP="00246CCC">
      <w:pPr>
        <w:pStyle w:val="BodyText"/>
      </w:pPr>
      <w:r w:rsidRPr="00A83DFD">
        <w:t>b = estimoi</w:t>
      </w:r>
      <w:r>
        <w:t xml:space="preserve">tu vaimenemisparametri </w:t>
      </w:r>
      <m:oMath>
        <m:r>
          <m:rPr>
            <m:sty m:val="p"/>
          </m:rPr>
          <w:rPr>
            <w:rFonts w:ascii="Cambria Math" w:hAnsi="Cambria Math"/>
          </w:rPr>
          <m:t>b</m:t>
        </m:r>
        <m:r>
          <w:rPr>
            <w:rFonts w:ascii="Cambria Math" w:hAnsi="Cambria Math"/>
          </w:rPr>
          <m:t> </m:t>
        </m:r>
      </m:oMath>
      <w:r>
        <w:t>= -0,4232.</w:t>
      </w:r>
    </w:p>
    <w:p w14:paraId="3C6D3D2C" w14:textId="11144699" w:rsidR="00A76B5E" w:rsidRDefault="00A76B5E" w:rsidP="00A76B5E">
      <w:pPr>
        <w:pStyle w:val="BodyText"/>
      </w:pPr>
      <w:r>
        <w:t>Toimialat erotteleva</w:t>
      </w:r>
      <w:r w:rsidR="00EA7F71">
        <w:t xml:space="preserve"> malli</w:t>
      </w:r>
      <w:r>
        <w:t>:</w:t>
      </w:r>
    </w:p>
    <w:p w14:paraId="4E74E23F" w14:textId="756994C7" w:rsidR="00A76B5E" w:rsidRPr="00A76B5E" w:rsidRDefault="00246CCC" w:rsidP="00A76B5E">
      <w:pPr>
        <w:pStyle w:val="BodyText"/>
      </w:pPr>
      <w:r>
        <w:rPr>
          <w:rFonts w:eastAsiaTheme="minorEastAsia"/>
          <w:iCs/>
        </w:rPr>
        <w:t>(7)</w:t>
      </w:r>
      <w:r>
        <w:rPr>
          <w:rFonts w:eastAsiaTheme="minorEastAsia"/>
          <w:iCs/>
        </w:rPr>
        <w:tab/>
      </w:r>
      <m:oMath>
        <m:sSub>
          <m:sSubPr>
            <m:ctrlPr>
              <w:rPr>
                <w:rFonts w:ascii="Cambria Math" w:hAnsi="Cambria Math"/>
                <w:i/>
                <w:iCs/>
              </w:rPr>
            </m:ctrlPr>
          </m:sSubPr>
          <m:e>
            <m:r>
              <w:rPr>
                <w:rFonts w:ascii="Cambria Math" w:hAnsi="Cambria Math"/>
              </w:rPr>
              <m:t>A</m:t>
            </m:r>
          </m:e>
          <m:sub>
            <m:r>
              <w:rPr>
                <w:rFonts w:ascii="Cambria Math" w:hAnsi="Cambria Math"/>
              </w:rPr>
              <m:t>rt</m:t>
            </m:r>
          </m:sub>
        </m:sSub>
        <m:r>
          <w:rPr>
            <w:rFonts w:ascii="Cambria Math" w:hAnsi="Cambria Math"/>
          </w:rPr>
          <m:t>= </m:t>
        </m:r>
        <m:nary>
          <m:naryPr>
            <m:chr m:val="∑"/>
            <m:supHide m:val="1"/>
            <m:ctrlPr>
              <w:rPr>
                <w:rFonts w:ascii="Cambria Math" w:hAnsi="Cambria Math"/>
                <w:i/>
                <w:iCs/>
              </w:rPr>
            </m:ctrlPr>
          </m:naryPr>
          <m:sub>
            <m:sSup>
              <m:sSupPr>
                <m:ctrlPr>
                  <w:rPr>
                    <w:rFonts w:ascii="Cambria Math" w:hAnsi="Cambria Math"/>
                    <w:i/>
                    <w:iCs/>
                  </w:rPr>
                </m:ctrlPr>
              </m:sSupPr>
              <m:e>
                <m:r>
                  <w:rPr>
                    <w:rFonts w:ascii="Cambria Math" w:hAnsi="Cambria Math"/>
                  </w:rPr>
                  <m:t>r</m:t>
                </m:r>
              </m:e>
              <m:sup>
                <m:r>
                  <w:rPr>
                    <w:rFonts w:ascii="Cambria Math" w:hAnsi="Cambria Math"/>
                  </w:rPr>
                  <m:t>'</m:t>
                </m:r>
              </m:sup>
            </m:sSup>
            <m:r>
              <w:rPr>
                <w:rFonts w:ascii="Cambria Math" w:hAnsi="Cambria Math"/>
              </w:rPr>
              <m:t>∈R</m:t>
            </m:r>
          </m:sub>
          <m:sup/>
          <m:e>
            <m:sSub>
              <m:sSubPr>
                <m:ctrlPr>
                  <w:rPr>
                    <w:rFonts w:ascii="Cambria Math" w:hAnsi="Cambria Math"/>
                    <w:i/>
                    <w:iCs/>
                  </w:rPr>
                </m:ctrlPr>
              </m:sSubPr>
              <m:e>
                <m:sSub>
                  <m:sSubPr>
                    <m:ctrlPr>
                      <w:rPr>
                        <w:rFonts w:ascii="Cambria Math" w:hAnsi="Cambria Math"/>
                        <w:i/>
                        <w:iCs/>
                      </w:rPr>
                    </m:ctrlPr>
                  </m:sSubPr>
                  <m:e>
                    <m:r>
                      <w:rPr>
                        <w:rFonts w:ascii="Cambria Math" w:hAnsi="Cambria Math"/>
                      </w:rPr>
                      <m:t>(a</m:t>
                    </m:r>
                  </m:e>
                  <m:sub>
                    <m:r>
                      <w:rPr>
                        <w:rFonts w:ascii="Cambria Math" w:hAnsi="Cambria Math"/>
                      </w:rPr>
                      <m:t>1</m:t>
                    </m:r>
                  </m:sub>
                </m:sSub>
                <m:r>
                  <w:rPr>
                    <w:rFonts w:ascii="Cambria Math" w:hAnsi="Cambria Math"/>
                  </w:rPr>
                  <m:t>n</m:t>
                </m:r>
              </m:e>
              <m:sub>
                <m:r>
                  <w:rPr>
                    <w:rFonts w:ascii="Cambria Math" w:hAnsi="Cambria Math"/>
                  </w:rPr>
                  <m:t>1t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sSub>
              <m:sSubPr>
                <m:ctrlPr>
                  <w:rPr>
                    <w:rFonts w:ascii="Cambria Math" w:hAnsi="Cambria Math"/>
                    <w:i/>
                    <w:iCs/>
                  </w:rPr>
                </m:ctrlPr>
              </m:sSubPr>
              <m:e>
                <m:r>
                  <w:rPr>
                    <w:rFonts w:ascii="Cambria Math" w:hAnsi="Cambria Math"/>
                  </w:rPr>
                  <m:t> </m:t>
                </m:r>
                <m:sSub>
                  <m:sSubPr>
                    <m:ctrlPr>
                      <w:rPr>
                        <w:rFonts w:ascii="Cambria Math" w:hAnsi="Cambria Math"/>
                        <w:i/>
                        <w:iCs/>
                      </w:rPr>
                    </m:ctrlPr>
                  </m:sSubPr>
                  <m:e>
                    <m:r>
                      <w:rPr>
                        <w:rFonts w:ascii="Cambria Math" w:hAnsi="Cambria Math"/>
                      </w:rPr>
                      <m:t> a</m:t>
                    </m:r>
                  </m:e>
                  <m:sub>
                    <m:r>
                      <w:rPr>
                        <w:rFonts w:ascii="Cambria Math" w:hAnsi="Cambria Math"/>
                      </w:rPr>
                      <m:t>2</m:t>
                    </m:r>
                  </m:sub>
                </m:sSub>
                <m:r>
                  <w:rPr>
                    <w:rFonts w:ascii="Cambria Math" w:hAnsi="Cambria Math"/>
                  </w:rPr>
                  <m:t>n</m:t>
                </m:r>
              </m:e>
              <m:sub>
                <m:r>
                  <w:rPr>
                    <w:rFonts w:ascii="Cambria Math" w:hAnsi="Cambria Math"/>
                  </w:rPr>
                  <m:t>2t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sSub>
              <m:sSubPr>
                <m:ctrlPr>
                  <w:rPr>
                    <w:rFonts w:ascii="Cambria Math" w:hAnsi="Cambria Math"/>
                    <w:i/>
                    <w:iCs/>
                  </w:rPr>
                </m:ctrlPr>
              </m:sSubPr>
              <m:e>
                <m:sSub>
                  <m:sSubPr>
                    <m:ctrlPr>
                      <w:rPr>
                        <w:rFonts w:ascii="Cambria Math" w:hAnsi="Cambria Math"/>
                        <w:i/>
                        <w:iCs/>
                      </w:rPr>
                    </m:ctrlPr>
                  </m:sSubPr>
                  <m:e>
                    <m:r>
                      <w:rPr>
                        <w:rFonts w:ascii="Cambria Math" w:hAnsi="Cambria Math"/>
                      </w:rPr>
                      <m:t>a</m:t>
                    </m:r>
                  </m:e>
                  <m:sub>
                    <m:r>
                      <w:rPr>
                        <w:rFonts w:ascii="Cambria Math" w:hAnsi="Cambria Math"/>
                      </w:rPr>
                      <m:t>3</m:t>
                    </m:r>
                  </m:sub>
                </m:sSub>
                <m:r>
                  <w:rPr>
                    <w:rFonts w:ascii="Cambria Math" w:hAnsi="Cambria Math"/>
                  </w:rPr>
                  <m:t>n</m:t>
                </m:r>
              </m:e>
              <m:sub>
                <m:r>
                  <w:rPr>
                    <w:rFonts w:ascii="Cambria Math" w:hAnsi="Cambria Math"/>
                  </w:rPr>
                  <m:t>3t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sSub>
              <m:sSubPr>
                <m:ctrlPr>
                  <w:rPr>
                    <w:rFonts w:ascii="Cambria Math" w:hAnsi="Cambria Math"/>
                    <w:i/>
                    <w:iCs/>
                  </w:rPr>
                </m:ctrlPr>
              </m:sSubPr>
              <m:e>
                <m:r>
                  <w:rPr>
                    <w:rFonts w:ascii="Cambria Math" w:hAnsi="Cambria Math"/>
                  </w:rPr>
                  <m:t> </m:t>
                </m:r>
                <m:sSub>
                  <m:sSubPr>
                    <m:ctrlPr>
                      <w:rPr>
                        <w:rFonts w:ascii="Cambria Math" w:hAnsi="Cambria Math"/>
                        <w:i/>
                        <w:iCs/>
                      </w:rPr>
                    </m:ctrlPr>
                  </m:sSubPr>
                  <m:e>
                    <m:r>
                      <w:rPr>
                        <w:rFonts w:ascii="Cambria Math" w:hAnsi="Cambria Math"/>
                      </w:rPr>
                      <m:t>a</m:t>
                    </m:r>
                  </m:e>
                  <m:sub>
                    <m:r>
                      <w:rPr>
                        <w:rFonts w:ascii="Cambria Math" w:hAnsi="Cambria Math"/>
                      </w:rPr>
                      <m:t>4</m:t>
                    </m:r>
                  </m:sub>
                </m:sSub>
                <m:r>
                  <w:rPr>
                    <w:rFonts w:ascii="Cambria Math" w:hAnsi="Cambria Math"/>
                  </w:rPr>
                  <m:t>n</m:t>
                </m:r>
              </m:e>
              <m:sub>
                <m:r>
                  <w:rPr>
                    <w:rFonts w:ascii="Cambria Math" w:hAnsi="Cambria Math"/>
                  </w:rPr>
                  <m:t>4t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sSub>
              <m:sSubPr>
                <m:ctrlPr>
                  <w:rPr>
                    <w:rFonts w:ascii="Cambria Math" w:hAnsi="Cambria Math"/>
                    <w:i/>
                    <w:iCs/>
                  </w:rPr>
                </m:ctrlPr>
              </m:sSubPr>
              <m:e>
                <m:r>
                  <w:rPr>
                    <w:rFonts w:ascii="Cambria Math" w:hAnsi="Cambria Math"/>
                  </w:rPr>
                  <m:t> </m:t>
                </m:r>
                <m:sSub>
                  <m:sSubPr>
                    <m:ctrlPr>
                      <w:rPr>
                        <w:rFonts w:ascii="Cambria Math" w:hAnsi="Cambria Math"/>
                        <w:i/>
                        <w:iCs/>
                      </w:rPr>
                    </m:ctrlPr>
                  </m:sSubPr>
                  <m:e>
                    <m:r>
                      <w:rPr>
                        <w:rFonts w:ascii="Cambria Math" w:hAnsi="Cambria Math"/>
                      </w:rPr>
                      <m:t>a</m:t>
                    </m:r>
                  </m:e>
                  <m:sub>
                    <m:r>
                      <w:rPr>
                        <w:rFonts w:ascii="Cambria Math" w:hAnsi="Cambria Math"/>
                      </w:rPr>
                      <m:t>5</m:t>
                    </m:r>
                  </m:sub>
                </m:sSub>
                <m:r>
                  <w:rPr>
                    <w:rFonts w:ascii="Cambria Math" w:hAnsi="Cambria Math"/>
                  </w:rPr>
                  <m:t>n</m:t>
                </m:r>
              </m:e>
              <m:sub>
                <m:r>
                  <w:rPr>
                    <w:rFonts w:ascii="Cambria Math" w:hAnsi="Cambria Math"/>
                  </w:rPr>
                  <m:t>5t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sSup>
              <m:sSupPr>
                <m:ctrlPr>
                  <w:rPr>
                    <w:rFonts w:ascii="Cambria Math" w:hAnsi="Cambria Math"/>
                    <w:i/>
                    <w:iCs/>
                  </w:rPr>
                </m:ctrlPr>
              </m:sSupPr>
              <m:e>
                <m:r>
                  <w:rPr>
                    <w:rFonts w:ascii="Cambria Math" w:hAnsi="Cambria Math"/>
                  </w:rPr>
                  <m:t>e</m:t>
                </m:r>
              </m:e>
              <m:sup>
                <m:r>
                  <w:rPr>
                    <w:rFonts w:ascii="Cambria Math" w:hAnsi="Cambria Math"/>
                  </w:rPr>
                  <m:t>b*</m:t>
                </m:r>
                <m:sSub>
                  <m:sSubPr>
                    <m:ctrlPr>
                      <w:rPr>
                        <w:rFonts w:ascii="Cambria Math" w:hAnsi="Cambria Math"/>
                        <w:i/>
                        <w:iCs/>
                      </w:rPr>
                    </m:ctrlPr>
                  </m:sSubPr>
                  <m:e>
                    <m:r>
                      <w:rPr>
                        <w:rFonts w:ascii="Cambria Math" w:hAnsi="Cambria Math"/>
                      </w:rPr>
                      <m:t>gc</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sup>
            </m:sSup>
          </m:e>
        </m:nary>
      </m:oMath>
    </w:p>
    <w:p w14:paraId="7518610D" w14:textId="49B0EB9E" w:rsidR="00A76B5E" w:rsidRPr="00A76B5E" w:rsidRDefault="0040610B" w:rsidP="00246CCC">
      <w:pPr>
        <w:pStyle w:val="BodyText"/>
      </w:pPr>
      <m:oMath>
        <m:sSub>
          <m:sSubPr>
            <m:ctrlPr>
              <w:rPr>
                <w:rFonts w:ascii="Cambria Math" w:hAnsi="Cambria Math"/>
                <w:i/>
                <w:iCs/>
              </w:rPr>
            </m:ctrlPr>
          </m:sSubPr>
          <m:e>
            <m:r>
              <w:rPr>
                <w:rFonts w:ascii="Cambria Math" w:hAnsi="Cambria Math"/>
              </w:rPr>
              <m:t>A</m:t>
            </m:r>
          </m:e>
          <m:sub>
            <m:r>
              <w:rPr>
                <w:rFonts w:ascii="Cambria Math" w:hAnsi="Cambria Math"/>
              </w:rPr>
              <m:t>rt</m:t>
            </m:r>
          </m:sub>
        </m:sSub>
      </m:oMath>
      <w:r w:rsidR="00A76B5E" w:rsidRPr="00A76B5E">
        <w:t xml:space="preserve"> = Alueen r tehokas tiheys ajan hetkellä t</w:t>
      </w:r>
    </w:p>
    <w:p w14:paraId="43502B94" w14:textId="3D079EA2" w:rsidR="00A76B5E" w:rsidRPr="00A76B5E" w:rsidRDefault="0040610B" w:rsidP="00246CCC">
      <w:pPr>
        <w:pStyle w:val="BodyText"/>
      </w:pPr>
      <m:oMath>
        <m:sSub>
          <m:sSubPr>
            <m:ctrlPr>
              <w:rPr>
                <w:rFonts w:ascii="Cambria Math" w:hAnsi="Cambria Math"/>
                <w:i/>
                <w:iCs/>
              </w:rPr>
            </m:ctrlPr>
          </m:sSubPr>
          <m:e>
            <m:r>
              <w:rPr>
                <w:rFonts w:ascii="Cambria Math" w:hAnsi="Cambria Math"/>
              </w:rPr>
              <m:t>gc</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oMath>
      <w:r w:rsidR="00A76B5E" w:rsidRPr="00A76B5E">
        <w:t xml:space="preserve"> = yleistetty matkavastus alueiden </w:t>
      </w:r>
      <m:oMath>
        <m:r>
          <w:rPr>
            <w:rFonts w:ascii="Cambria Math" w:hAnsi="Cambria Math"/>
          </w:rPr>
          <m:t>r ja </m:t>
        </m:r>
        <m:sSup>
          <m:sSupPr>
            <m:ctrlPr>
              <w:rPr>
                <w:rFonts w:ascii="Cambria Math" w:hAnsi="Cambria Math"/>
                <w:i/>
                <w:iCs/>
              </w:rPr>
            </m:ctrlPr>
          </m:sSupPr>
          <m:e>
            <m:r>
              <w:rPr>
                <w:rFonts w:ascii="Cambria Math" w:hAnsi="Cambria Math"/>
              </w:rPr>
              <m:t>r</m:t>
            </m:r>
          </m:e>
          <m:sup>
            <m:r>
              <w:rPr>
                <w:rFonts w:ascii="Cambria Math" w:hAnsi="Cambria Math"/>
              </w:rPr>
              <m:t>'</m:t>
            </m:r>
          </m:sup>
        </m:sSup>
      </m:oMath>
      <w:r w:rsidR="00A76B5E" w:rsidRPr="00A76B5E">
        <w:t xml:space="preserve"> välillä ajan hetkellä t</w:t>
      </w:r>
    </w:p>
    <w:p w14:paraId="75A4B058" w14:textId="0F470A5F" w:rsidR="00A76B5E" w:rsidRPr="00A76B5E" w:rsidRDefault="0040610B" w:rsidP="00246CCC">
      <w:pPr>
        <w:pStyle w:val="BodyText"/>
      </w:pPr>
      <m:oMath>
        <m:sSub>
          <m:sSubPr>
            <m:ctrlPr>
              <w:rPr>
                <w:rFonts w:ascii="Cambria Math" w:hAnsi="Cambria Math"/>
                <w:i/>
                <w:iCs/>
              </w:rPr>
            </m:ctrlPr>
          </m:sSubPr>
          <m:e>
            <m:r>
              <w:rPr>
                <w:rFonts w:ascii="Cambria Math" w:hAnsi="Cambria Math"/>
              </w:rPr>
              <m:t>n</m:t>
            </m:r>
          </m:e>
          <m:sub>
            <m:r>
              <w:rPr>
                <w:rFonts w:ascii="Cambria Math" w:hAnsi="Cambria Math"/>
              </w:rPr>
              <m:t>mt</m:t>
            </m:r>
            <m:sSup>
              <m:sSupPr>
                <m:ctrlPr>
                  <w:rPr>
                    <w:rFonts w:ascii="Cambria Math" w:hAnsi="Cambria Math"/>
                    <w:i/>
                    <w:iCs/>
                  </w:rPr>
                </m:ctrlPr>
              </m:sSupPr>
              <m:e>
                <m:r>
                  <w:rPr>
                    <w:rFonts w:ascii="Cambria Math" w:hAnsi="Cambria Math"/>
                  </w:rPr>
                  <m:t>r</m:t>
                </m:r>
              </m:e>
              <m:sup>
                <m:r>
                  <w:rPr>
                    <w:rFonts w:ascii="Cambria Math" w:hAnsi="Cambria Math"/>
                  </w:rPr>
                  <m:t>'</m:t>
                </m:r>
              </m:sup>
            </m:sSup>
          </m:sub>
        </m:sSub>
      </m:oMath>
      <w:r w:rsidR="00A76B5E" w:rsidRPr="00A76B5E">
        <w:t xml:space="preserve"> = alueen </w:t>
      </w:r>
      <m:oMath>
        <m:sSup>
          <m:sSupPr>
            <m:ctrlPr>
              <w:rPr>
                <w:rFonts w:ascii="Cambria Math" w:hAnsi="Cambria Math"/>
                <w:i/>
                <w:iCs/>
              </w:rPr>
            </m:ctrlPr>
          </m:sSupPr>
          <m:e>
            <m:r>
              <w:rPr>
                <w:rFonts w:ascii="Cambria Math" w:hAnsi="Cambria Math"/>
              </w:rPr>
              <m:t>r</m:t>
            </m:r>
          </m:e>
          <m:sup>
            <m:r>
              <w:rPr>
                <w:rFonts w:ascii="Cambria Math" w:hAnsi="Cambria Math"/>
              </w:rPr>
              <m:t>'</m:t>
            </m:r>
          </m:sup>
        </m:sSup>
      </m:oMath>
      <w:r w:rsidR="00A76B5E" w:rsidRPr="00A76B5E">
        <w:t xml:space="preserve"> työpaikkamäärä toimialalla m ajan hetkellä t</w:t>
      </w:r>
    </w:p>
    <w:p w14:paraId="4A0E092B" w14:textId="3ED55E21" w:rsidR="00A76B5E" w:rsidRPr="00A76B5E" w:rsidRDefault="00A76B5E" w:rsidP="00246CCC">
      <w:pPr>
        <w:pStyle w:val="BodyText"/>
      </w:pPr>
      <w:r w:rsidRPr="00A76B5E">
        <w:t>b = estimoitu vaimennusparametri</w:t>
      </w:r>
      <w:r>
        <w:t xml:space="preserve"> -0,4430</w:t>
      </w:r>
    </w:p>
    <w:p w14:paraId="1782915D" w14:textId="403374CA" w:rsidR="00A76B5E" w:rsidRPr="00A76B5E" w:rsidRDefault="0040610B" w:rsidP="00246CCC">
      <w:pPr>
        <w:pStyle w:val="BodyText"/>
      </w:pPr>
      <m:oMath>
        <m:sSub>
          <m:sSubPr>
            <m:ctrlPr>
              <w:rPr>
                <w:rFonts w:ascii="Cambria Math" w:hAnsi="Cambria Math"/>
                <w:i/>
                <w:iCs/>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a</m:t>
            </m:r>
          </m:e>
          <m:sub>
            <m:r>
              <w:rPr>
                <w:rFonts w:ascii="Cambria Math" w:hAnsi="Cambria Math"/>
              </w:rPr>
              <m:t>5</m:t>
            </m:r>
          </m:sub>
        </m:sSub>
        <m:r>
          <w:rPr>
            <w:rFonts w:ascii="Cambria Math" w:hAnsi="Cambria Math"/>
          </w:rPr>
          <m:t>=</m:t>
        </m:r>
      </m:oMath>
      <w:r w:rsidR="00A76B5E" w:rsidRPr="006E72BE">
        <w:t xml:space="preserve"> </w:t>
      </w:r>
      <w:r w:rsidR="00A0446C" w:rsidRPr="006E72BE">
        <w:t>T</w:t>
      </w:r>
      <w:r w:rsidR="00A76B5E" w:rsidRPr="006E72BE">
        <w:t>oimialojen työpaikkamäärän kerroin Palvelut =0,</w:t>
      </w:r>
      <w:r w:rsidR="00A0446C" w:rsidRPr="006E72BE">
        <w:t>1010</w:t>
      </w:r>
      <w:r w:rsidR="00A76B5E" w:rsidRPr="006E72BE">
        <w:t>, Kauppa = 0,</w:t>
      </w:r>
      <w:r w:rsidR="00A0446C" w:rsidRPr="006E72BE">
        <w:t>0893</w:t>
      </w:r>
      <w:r w:rsidR="00A76B5E" w:rsidRPr="006E72BE">
        <w:t>, Kuljetus = 0,</w:t>
      </w:r>
      <w:r w:rsidR="00A0446C" w:rsidRPr="006E72BE">
        <w:t>0413</w:t>
      </w:r>
      <w:r w:rsidR="00A76B5E" w:rsidRPr="006E72BE">
        <w:t>, Teollisuus = 0,</w:t>
      </w:r>
      <w:r w:rsidR="00A0446C" w:rsidRPr="006E72BE">
        <w:t>1288</w:t>
      </w:r>
      <w:r w:rsidR="00A76B5E" w:rsidRPr="006E72BE">
        <w:t>, Muut = 0,0</w:t>
      </w:r>
      <w:r w:rsidR="00A0446C" w:rsidRPr="006E72BE">
        <w:t>333</w:t>
      </w:r>
      <w:r w:rsidR="00A76B5E" w:rsidRPr="006E72BE">
        <w:t>.</w:t>
      </w:r>
      <w:r w:rsidR="00A0446C" w:rsidRPr="006E72BE">
        <w:t xml:space="preserve"> Kertoimet on skaalattu niin, että suurin tehokas tiheys saa arvon 1000 vuoden 2020 tilanteessa (vastaavasti kuin kaavassa 6).</w:t>
      </w:r>
    </w:p>
    <w:p w14:paraId="49323613" w14:textId="0CCFFC8D" w:rsidR="00B219EE" w:rsidRPr="005D7BF5" w:rsidRDefault="00A76B5E" w:rsidP="007E4C69">
      <w:pPr>
        <w:pStyle w:val="BodyText"/>
      </w:pPr>
      <w:r w:rsidRPr="005D7BF5">
        <w:t>Kertoimet on estimoitu</w:t>
      </w:r>
      <w:r w:rsidR="002861FC" w:rsidRPr="005D7BF5">
        <w:t xml:space="preserve"> HELMET 4.0</w:t>
      </w:r>
      <w:r w:rsidRPr="005D7BF5">
        <w:t xml:space="preserve"> liikennemallin</w:t>
      </w:r>
      <w:r w:rsidR="002861FC" w:rsidRPr="005D7BF5">
        <w:t xml:space="preserve"> työp</w:t>
      </w:r>
      <w:r w:rsidR="00B219EE" w:rsidRPr="005D7BF5">
        <w:t>eräisten</w:t>
      </w:r>
      <w:r w:rsidR="002861FC" w:rsidRPr="005D7BF5">
        <w:t xml:space="preserve"> matkojen</w:t>
      </w:r>
      <w:r w:rsidRPr="005D7BF5">
        <w:t xml:space="preserve"> perusteella.</w:t>
      </w:r>
      <w:r w:rsidR="002861FC" w:rsidRPr="005D7BF5">
        <w:t xml:space="preserve"> Käytetyt matkavastukset kuvaavat päiväliikenteen tilannetta.</w:t>
      </w:r>
    </w:p>
    <w:p w14:paraId="04AF7F8F" w14:textId="49A01A53" w:rsidR="007B195D" w:rsidRDefault="00B219EE" w:rsidP="006E72BE">
      <w:pPr>
        <w:pStyle w:val="BodyText"/>
      </w:pPr>
      <w:r w:rsidRPr="005D7BF5">
        <w:t>T</w:t>
      </w:r>
      <w:r w:rsidR="00962898" w:rsidRPr="005D7BF5">
        <w:t xml:space="preserve">uotantofunktioiden </w:t>
      </w:r>
      <w:r w:rsidRPr="005D7BF5">
        <w:t xml:space="preserve">estimoinnin yhteydessä kannattaa tehdä herkkyystarkasteluita vaimenemisparametrin b suhteen, jotta nähdään </w:t>
      </w:r>
      <w:r w:rsidR="00F8585D" w:rsidRPr="005D7BF5">
        <w:t>selittääkö</w:t>
      </w:r>
      <w:r w:rsidR="00091A08" w:rsidRPr="005D7BF5">
        <w:t xml:space="preserve"> mallilla (7) laskettu</w:t>
      </w:r>
      <w:r w:rsidRPr="005D7BF5">
        <w:t xml:space="preserve"> </w:t>
      </w:r>
      <w:r w:rsidR="00F8585D" w:rsidRPr="005D7BF5">
        <w:t>tehokas tiheys</w:t>
      </w:r>
      <w:r w:rsidRPr="005D7BF5">
        <w:t xml:space="preserve"> parhaalla mahdollisell</w:t>
      </w:r>
      <w:r w:rsidR="00115E83" w:rsidRPr="005D7BF5">
        <w:t>a</w:t>
      </w:r>
      <w:r w:rsidRPr="005D7BF5">
        <w:t xml:space="preserve"> tavalla </w:t>
      </w:r>
      <w:r w:rsidR="007B195D" w:rsidRPr="005D7BF5">
        <w:t>tuottavuutta</w:t>
      </w:r>
      <w:r w:rsidRPr="005D7BF5">
        <w:t>.</w:t>
      </w:r>
      <w:r w:rsidR="00091A08" w:rsidRPr="005D7BF5">
        <w:t xml:space="preserve"> </w:t>
      </w:r>
      <w:r w:rsidR="00115E83" w:rsidRPr="005D7BF5">
        <w:t xml:space="preserve">Herkkyystarkasteluiden tuloksien perusteella </w:t>
      </w:r>
      <w:r w:rsidR="00F8585D" w:rsidRPr="005D7BF5">
        <w:t>v</w:t>
      </w:r>
      <w:r w:rsidRPr="005D7BF5">
        <w:t>aimenemisparametria voi</w:t>
      </w:r>
      <w:r w:rsidR="00F8585D" w:rsidRPr="005D7BF5">
        <w:t>daan</w:t>
      </w:r>
      <w:r w:rsidRPr="005D7BF5">
        <w:t xml:space="preserve"> hienosäätää</w:t>
      </w:r>
      <w:r w:rsidR="00F8585D" w:rsidRPr="005D7BF5">
        <w:t>,</w:t>
      </w:r>
      <w:r w:rsidRPr="005D7BF5">
        <w:t xml:space="preserve"> jotta taloudellisen tuottavuuden ja tehokkaan tiheyden välinen </w:t>
      </w:r>
      <w:r w:rsidR="00F8585D" w:rsidRPr="005D7BF5">
        <w:t>yhteys saadaan parhaiten esiin.</w:t>
      </w:r>
      <w:r w:rsidR="00091A08">
        <w:t xml:space="preserve"> </w:t>
      </w:r>
    </w:p>
    <w:p w14:paraId="11504DE2" w14:textId="70A1F722" w:rsidR="007E4C69" w:rsidRDefault="007E4C69" w:rsidP="007E4C69">
      <w:pPr>
        <w:pStyle w:val="Heading1"/>
      </w:pPr>
      <w:bookmarkStart w:id="26" w:name="_Toc76110789"/>
      <w:r>
        <w:t>Mittarin testaus ja esimerkkiarvot</w:t>
      </w:r>
      <w:bookmarkEnd w:id="26"/>
    </w:p>
    <w:p w14:paraId="4D507738" w14:textId="23B4D17F" w:rsidR="00C1420D" w:rsidRDefault="00C1420D" w:rsidP="00C1420D">
      <w:pPr>
        <w:pStyle w:val="Heading2"/>
      </w:pPr>
      <w:bookmarkStart w:id="27" w:name="_Toc76110790"/>
      <w:r>
        <w:t>Helsingin seutu</w:t>
      </w:r>
      <w:bookmarkEnd w:id="27"/>
    </w:p>
    <w:p w14:paraId="24D73C7F" w14:textId="7185726A" w:rsidR="00C1420D" w:rsidRDefault="00C1420D" w:rsidP="00C1420D">
      <w:pPr>
        <w:pStyle w:val="Heading3"/>
      </w:pPr>
      <w:bookmarkStart w:id="28" w:name="_Toc76110791"/>
      <w:r>
        <w:t>Tehokkaan tiheyden arvot</w:t>
      </w:r>
      <w:bookmarkEnd w:id="28"/>
    </w:p>
    <w:p w14:paraId="08E88E6C" w14:textId="2772ADDE" w:rsidR="004B2F7F" w:rsidRDefault="00CC0E1C" w:rsidP="00DB62FD">
      <w:pPr>
        <w:pStyle w:val="BodyText"/>
      </w:pPr>
      <w:r>
        <w:t xml:space="preserve">Edellä määriteltyä tehokkaan tiheyden mittaria testattiin HSL:n liikenne-ennustejärjestelmällä laskemalla tehokkaan tiheyden arvot vuosien 2016, 2020 ja 2030 liikenneverkoille. </w:t>
      </w:r>
      <w:r w:rsidR="00514238">
        <w:t xml:space="preserve">Valitut skenaariot sopivat hyvin mittarin testaamiseen, sillä niiden välillä on merkittäviä eroja liikennejärjestelmässä. </w:t>
      </w:r>
      <w:r>
        <w:t>Vuonna 2016 länsimetron liikennöintiä ei vielä ol</w:t>
      </w:r>
      <w:r w:rsidR="002C69BC">
        <w:t>lut</w:t>
      </w:r>
      <w:r>
        <w:t xml:space="preserve"> aloitettu. </w:t>
      </w:r>
      <w:r w:rsidR="00514238">
        <w:t xml:space="preserve">Vuonna 2020 erityisesti Helsingin kaupungin katujen nopeusrajoituksia on laskettu useilla alueilla. </w:t>
      </w:r>
      <w:r>
        <w:t>Vuoden 2030 tilanne on kuvattu MAL</w:t>
      </w:r>
      <w:r w:rsidR="004B2F7F">
        <w:t xml:space="preserve"> 2019 -suunnitelman (HSL 2019) </w:t>
      </w:r>
      <w:r>
        <w:t>mukaiseksi</w:t>
      </w:r>
      <w:r w:rsidR="004B2F7F">
        <w:t>. Vuoden 2030 skenaarion l</w:t>
      </w:r>
      <w:r w:rsidR="004B2F7F" w:rsidRPr="00253084">
        <w:t xml:space="preserve">iikennejärjestelmän merkittävimpiä muutoksia nykytilaan verrattuna ovat Ilmasilta, valtatien 4 kehittäminen, Vantaan raitiotie ja raitiotieliikenteen kehittämisohjelma. </w:t>
      </w:r>
      <w:r w:rsidR="004B2F7F">
        <w:t xml:space="preserve">Pysäköintimaksut on laajennettu koko </w:t>
      </w:r>
      <w:r w:rsidR="004B2F7F" w:rsidRPr="00253084">
        <w:t>Helsingin seudulle laajennetut pysäköintimaksut, joukkoliikenteen lipunhintoj</w:t>
      </w:r>
      <w:r w:rsidR="004B2F7F">
        <w:t xml:space="preserve">a on alennettu ja </w:t>
      </w:r>
      <w:r w:rsidR="004B2F7F" w:rsidRPr="00253084">
        <w:t>ruuhkamaksut ovat käytössä.</w:t>
      </w:r>
    </w:p>
    <w:p w14:paraId="5C0F72A7" w14:textId="2E839499" w:rsidR="00514238" w:rsidRDefault="00AF1607" w:rsidP="00DB62FD">
      <w:pPr>
        <w:pStyle w:val="BodyText"/>
      </w:pPr>
      <w:r>
        <w:t>Skenaarioissa 2016 ja 2020 käytettiin vuoden 2016 työpaikkatietoja (vuoden 2020 tietoja ei ollut saatavilla HELMET-aluejaossa) ja vuonna 2030 MAL skenaarion mukaisia työpaikkamääriä.</w:t>
      </w:r>
    </w:p>
    <w:p w14:paraId="150E5618" w14:textId="39CCA552" w:rsidR="005C3AC7" w:rsidRPr="004B2F7F" w:rsidRDefault="00514238" w:rsidP="00AE34B0">
      <w:pPr>
        <w:pStyle w:val="BodyText"/>
      </w:pPr>
      <w:r>
        <w:t>Luvussa 4 määriteltiin kaksi vaihtoehtoista tapaa tehokkaan tiheyden laskennalle</w:t>
      </w:r>
      <w:r w:rsidR="00091A08">
        <w:t xml:space="preserve"> (mallit 6 ja 7)</w:t>
      </w:r>
      <w:r>
        <w:t xml:space="preserve">. Ensimmäisessä </w:t>
      </w:r>
      <w:r w:rsidR="0037228E">
        <w:t xml:space="preserve">vaihtoehdossa </w:t>
      </w:r>
      <w:r>
        <w:t>tehokas tiheys laskettiin työ</w:t>
      </w:r>
      <w:r w:rsidR="002B5732">
        <w:t xml:space="preserve">peräisten </w:t>
      </w:r>
      <w:r>
        <w:t>matkojen määränpään työpaikkojen kokonaismäärän mukaan</w:t>
      </w:r>
      <w:r w:rsidR="0037228E">
        <w:t xml:space="preserve">. Toisessa vaihtoehdossa määränpään työpaikat jaoteltiin toimialan mukaan viiteen ryhmään (kauppa, palvelut, kuljetukset, teollisuus ja muut). </w:t>
      </w:r>
      <w:r w:rsidR="00AF1607">
        <w:t>Ensimmäisessä vaihtoehdossa työpaikkojen kokonaismäärälle laskettiin yhteinen attraktiokerroin, toisessa v</w:t>
      </w:r>
      <w:r w:rsidR="0037228E">
        <w:t>aihtoehdossa kullekin toimialalle mallinnettiin attraktiokerroin sen mukaan, mit</w:t>
      </w:r>
      <w:r w:rsidR="0037228E" w:rsidRPr="004B2F7F">
        <w:t>en toimialan laskettiin houkuttelevan työ</w:t>
      </w:r>
      <w:r w:rsidR="00A0446C" w:rsidRPr="004B2F7F">
        <w:t>peräisiä matkoja</w:t>
      </w:r>
      <w:r w:rsidR="0037228E" w:rsidRPr="004B2F7F">
        <w:t xml:space="preserve"> HELMET 4-mallissa.</w:t>
      </w:r>
    </w:p>
    <w:p w14:paraId="228337C9" w14:textId="7584E9B3" w:rsidR="005C3AC7" w:rsidRDefault="005C3AC7" w:rsidP="00CC0E1C">
      <w:pPr>
        <w:pStyle w:val="BodyText"/>
      </w:pPr>
      <w:r w:rsidRPr="004B2F7F">
        <w:t xml:space="preserve">Kuvissa </w:t>
      </w:r>
      <w:r w:rsidR="005029AD" w:rsidRPr="004B2F7F">
        <w:t>2</w:t>
      </w:r>
      <w:r w:rsidRPr="004B2F7F">
        <w:t xml:space="preserve"> ja </w:t>
      </w:r>
      <w:r w:rsidR="005029AD" w:rsidRPr="004B2F7F">
        <w:t>3</w:t>
      </w:r>
      <w:r w:rsidRPr="004B2F7F">
        <w:t xml:space="preserve"> on esitetty tehokkaan tiheyden arvot Helmet 4-mallin osa-alueilla kummallakin </w:t>
      </w:r>
      <w:r w:rsidR="00091A08" w:rsidRPr="004B2F7F">
        <w:t>ma</w:t>
      </w:r>
      <w:r w:rsidR="006F020E" w:rsidRPr="004B2F7F">
        <w:t>l</w:t>
      </w:r>
      <w:r w:rsidR="00091A08" w:rsidRPr="004B2F7F">
        <w:t>lilla</w:t>
      </w:r>
      <w:r w:rsidRPr="004B2F7F">
        <w:t xml:space="preserve"> laskettuna. </w:t>
      </w:r>
      <w:r w:rsidR="006F020E" w:rsidRPr="004B2F7F">
        <w:t>Molemmat mallit on skaalattu niin, että tehokkaan tiheyden maksimiarvo on 1</w:t>
      </w:r>
      <w:r w:rsidR="004B2F7F" w:rsidRPr="004B2F7F">
        <w:t> </w:t>
      </w:r>
      <w:r w:rsidR="006F020E" w:rsidRPr="004B2F7F">
        <w:t xml:space="preserve">000 vuoden 2020 tilanteessa. </w:t>
      </w:r>
      <w:r w:rsidRPr="004B2F7F">
        <w:t>Toimialakohtainen laskentatapa tuottaa hieman pienempiä</w:t>
      </w:r>
      <w:r w:rsidR="000132F9" w:rsidRPr="004B2F7F">
        <w:t xml:space="preserve"> </w:t>
      </w:r>
      <w:r w:rsidRPr="004B2F7F">
        <w:t>tehokkaan tiheyden arvoja</w:t>
      </w:r>
      <w:r w:rsidR="000132F9" w:rsidRPr="004B2F7F">
        <w:t xml:space="preserve"> Helsingin</w:t>
      </w:r>
      <w:r w:rsidR="006F020E" w:rsidRPr="004B2F7F">
        <w:t xml:space="preserve"> kantakaupungissa ja suurempia arvoja kantakaupungin ulkopuolella kuin toimialoja erottelematon malli.</w:t>
      </w:r>
    </w:p>
    <w:p w14:paraId="447FA4E8" w14:textId="005DB981" w:rsidR="006E7B9D" w:rsidRDefault="006E7B9D" w:rsidP="006E7B9D">
      <w:pPr>
        <w:pStyle w:val="BodyText"/>
      </w:pPr>
    </w:p>
    <w:p w14:paraId="168BCD63" w14:textId="77777777" w:rsidR="00EE6FFC" w:rsidRDefault="00EE6FFC">
      <w:pPr>
        <w:rPr>
          <w:i/>
          <w:iCs/>
          <w:sz w:val="18"/>
          <w:szCs w:val="18"/>
        </w:rPr>
      </w:pPr>
      <w:r>
        <w:br w:type="page"/>
      </w:r>
    </w:p>
    <w:p w14:paraId="12320BA7" w14:textId="4BB269A5" w:rsidR="00A77591" w:rsidRDefault="005029AD" w:rsidP="005029AD">
      <w:pPr>
        <w:pStyle w:val="Caption"/>
      </w:pPr>
      <w:r>
        <w:lastRenderedPageBreak/>
        <w:t xml:space="preserve">Kuva </w:t>
      </w:r>
      <w:r w:rsidR="0040610B">
        <w:fldChar w:fldCharType="begin"/>
      </w:r>
      <w:r w:rsidR="0040610B">
        <w:instrText xml:space="preserve"> SEQ Kuva \* ARABIC </w:instrText>
      </w:r>
      <w:r w:rsidR="0040610B">
        <w:fldChar w:fldCharType="separate"/>
      </w:r>
      <w:r w:rsidR="00FA65C8">
        <w:rPr>
          <w:noProof/>
        </w:rPr>
        <w:t>2</w:t>
      </w:r>
      <w:r w:rsidR="0040610B">
        <w:rPr>
          <w:noProof/>
        </w:rPr>
        <w:fldChar w:fldCharType="end"/>
      </w:r>
      <w:r w:rsidR="006552CB">
        <w:t>.</w:t>
      </w:r>
      <w:r w:rsidR="00A77591">
        <w:t xml:space="preserve"> Tehokas tiheys 2020 Helsingin seudulla (</w:t>
      </w:r>
      <w:r w:rsidR="00B91F01">
        <w:t>mallin 6</w:t>
      </w:r>
      <w:r w:rsidR="00A77591">
        <w:t xml:space="preserve"> mukaan laskettuna)</w:t>
      </w:r>
      <w:r w:rsidR="00A865F5">
        <w:t>.</w:t>
      </w:r>
    </w:p>
    <w:p w14:paraId="36C4FF0D" w14:textId="3E796034" w:rsidR="00EE6FFC" w:rsidRPr="00EE6FFC" w:rsidRDefault="00EE6FFC" w:rsidP="00EE6FFC">
      <w:pPr>
        <w:ind w:firstLine="1276"/>
      </w:pPr>
      <w:r>
        <w:rPr>
          <w:noProof/>
          <w:lang w:eastAsia="fi-FI"/>
        </w:rPr>
        <w:drawing>
          <wp:inline distT="0" distB="0" distL="0" distR="0" wp14:anchorId="516C737F" wp14:editId="61CCCF38">
            <wp:extent cx="5247656" cy="4142630"/>
            <wp:effectExtent l="0" t="0" r="0" b="0"/>
            <wp:docPr id="11" name="Kuva 11" descr="Kuvassa esitetään tehokkaan tiheyden lukuarvoa väreillä erottelevat pallot Helsingin seudulla kartal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uva 11" descr="Kuvassa esitetään tehokkaan tiheyden lukuarvoa väreillä erottelevat pallot Helsingin seudulla kartalla. "/>
                    <pic:cNvPicPr/>
                  </pic:nvPicPr>
                  <pic:blipFill>
                    <a:blip r:embed="rId17">
                      <a:extLst>
                        <a:ext uri="{28A0092B-C50C-407E-A947-70E740481C1C}">
                          <a14:useLocalDpi xmlns:a14="http://schemas.microsoft.com/office/drawing/2010/main" val="0"/>
                        </a:ext>
                      </a:extLst>
                    </a:blip>
                    <a:stretch>
                      <a:fillRect/>
                    </a:stretch>
                  </pic:blipFill>
                  <pic:spPr>
                    <a:xfrm>
                      <a:off x="0" y="0"/>
                      <a:ext cx="5260129" cy="4152476"/>
                    </a:xfrm>
                    <a:prstGeom prst="rect">
                      <a:avLst/>
                    </a:prstGeom>
                  </pic:spPr>
                </pic:pic>
              </a:graphicData>
            </a:graphic>
          </wp:inline>
        </w:drawing>
      </w:r>
    </w:p>
    <w:p w14:paraId="053BF30F" w14:textId="7393A42C" w:rsidR="003462A0" w:rsidRDefault="003462A0" w:rsidP="006E7B9D">
      <w:pPr>
        <w:pStyle w:val="BodyText"/>
      </w:pPr>
    </w:p>
    <w:p w14:paraId="48111415" w14:textId="020E10C5" w:rsidR="003462A0" w:rsidRDefault="005029AD" w:rsidP="005029AD">
      <w:pPr>
        <w:pStyle w:val="Caption"/>
      </w:pPr>
      <w:r>
        <w:t xml:space="preserve">Kuva </w:t>
      </w:r>
      <w:r w:rsidR="0040610B">
        <w:fldChar w:fldCharType="begin"/>
      </w:r>
      <w:r w:rsidR="0040610B">
        <w:instrText xml:space="preserve"> SEQ Kuva \* ARABIC </w:instrText>
      </w:r>
      <w:r w:rsidR="0040610B">
        <w:fldChar w:fldCharType="separate"/>
      </w:r>
      <w:r w:rsidR="00FA65C8">
        <w:rPr>
          <w:noProof/>
        </w:rPr>
        <w:t>3</w:t>
      </w:r>
      <w:r w:rsidR="0040610B">
        <w:rPr>
          <w:noProof/>
        </w:rPr>
        <w:fldChar w:fldCharType="end"/>
      </w:r>
      <w:r w:rsidR="00A17038">
        <w:t>.</w:t>
      </w:r>
      <w:r w:rsidR="003462A0">
        <w:t xml:space="preserve"> Tehokas tiheys 2020 Helsingin seudulla (</w:t>
      </w:r>
      <w:r w:rsidR="00B91F01">
        <w:t>mallin 7</w:t>
      </w:r>
      <w:r w:rsidR="003462A0">
        <w:t xml:space="preserve"> mukaan laskettuna)</w:t>
      </w:r>
      <w:r w:rsidR="00A865F5">
        <w:t>.</w:t>
      </w:r>
      <w:r w:rsidR="00647D8E">
        <w:t xml:space="preserve"> </w:t>
      </w:r>
    </w:p>
    <w:p w14:paraId="70A5FCE7" w14:textId="2AE4119F" w:rsidR="00EE6FFC" w:rsidRPr="00EE6FFC" w:rsidRDefault="00EE6FFC" w:rsidP="00EE6FFC">
      <w:pPr>
        <w:ind w:firstLine="1276"/>
      </w:pPr>
      <w:r>
        <w:rPr>
          <w:noProof/>
          <w:lang w:eastAsia="fi-FI"/>
        </w:rPr>
        <w:drawing>
          <wp:inline distT="0" distB="0" distL="0" distR="0" wp14:anchorId="0A84DA4E" wp14:editId="355A2AC6">
            <wp:extent cx="5263764" cy="4155346"/>
            <wp:effectExtent l="0" t="0" r="0" b="0"/>
            <wp:docPr id="23" name="Kuva 23" descr="Kuvassa esitetään tehokkaan tiheyden lukuarvoa väreillä erottelevat pallot Helsingin seudul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uva 23" descr="Kuvassa esitetään tehokkaan tiheyden lukuarvoa väreillä erottelevat pallot Helsingin seudulla. "/>
                    <pic:cNvPicPr/>
                  </pic:nvPicPr>
                  <pic:blipFill>
                    <a:blip r:embed="rId18">
                      <a:extLst>
                        <a:ext uri="{28A0092B-C50C-407E-A947-70E740481C1C}">
                          <a14:useLocalDpi xmlns:a14="http://schemas.microsoft.com/office/drawing/2010/main" val="0"/>
                        </a:ext>
                      </a:extLst>
                    </a:blip>
                    <a:stretch>
                      <a:fillRect/>
                    </a:stretch>
                  </pic:blipFill>
                  <pic:spPr>
                    <a:xfrm>
                      <a:off x="0" y="0"/>
                      <a:ext cx="5272783" cy="4162466"/>
                    </a:xfrm>
                    <a:prstGeom prst="rect">
                      <a:avLst/>
                    </a:prstGeom>
                  </pic:spPr>
                </pic:pic>
              </a:graphicData>
            </a:graphic>
          </wp:inline>
        </w:drawing>
      </w:r>
    </w:p>
    <w:p w14:paraId="6644F05F" w14:textId="07B1D33F" w:rsidR="00215027" w:rsidRDefault="005029AD" w:rsidP="005029AD">
      <w:pPr>
        <w:pStyle w:val="Caption"/>
      </w:pPr>
      <w:r>
        <w:lastRenderedPageBreak/>
        <w:t xml:space="preserve">Kuva </w:t>
      </w:r>
      <w:r w:rsidR="0040610B">
        <w:fldChar w:fldCharType="begin"/>
      </w:r>
      <w:r w:rsidR="0040610B">
        <w:instrText xml:space="preserve"> SEQ Kuva \* ARABIC </w:instrText>
      </w:r>
      <w:r w:rsidR="0040610B">
        <w:fldChar w:fldCharType="separate"/>
      </w:r>
      <w:r w:rsidR="00FA65C8">
        <w:rPr>
          <w:noProof/>
        </w:rPr>
        <w:t>4</w:t>
      </w:r>
      <w:r w:rsidR="0040610B">
        <w:rPr>
          <w:noProof/>
        </w:rPr>
        <w:fldChar w:fldCharType="end"/>
      </w:r>
      <w:r w:rsidR="00962898">
        <w:t>.</w:t>
      </w:r>
      <w:r w:rsidR="00215027">
        <w:t xml:space="preserve"> Tehokas tiheys 2020 Helsingissä (m</w:t>
      </w:r>
      <w:r w:rsidR="00B91F01">
        <w:t>allin 6</w:t>
      </w:r>
      <w:r w:rsidR="00215027">
        <w:t xml:space="preserve"> mukaan laskettuna)</w:t>
      </w:r>
      <w:r w:rsidR="00A865F5">
        <w:t>.</w:t>
      </w:r>
    </w:p>
    <w:p w14:paraId="4C01DC12" w14:textId="7E64839D" w:rsidR="00EE6FFC" w:rsidRPr="00EE6FFC" w:rsidRDefault="00EE6FFC" w:rsidP="00EE6FFC">
      <w:pPr>
        <w:ind w:firstLine="1276"/>
      </w:pPr>
      <w:r>
        <w:rPr>
          <w:noProof/>
          <w:lang w:eastAsia="fi-FI"/>
        </w:rPr>
        <w:drawing>
          <wp:inline distT="0" distB="0" distL="0" distR="0" wp14:anchorId="711A1F82" wp14:editId="34ADCD42">
            <wp:extent cx="5283862" cy="3886402"/>
            <wp:effectExtent l="0" t="0" r="0" b="0"/>
            <wp:docPr id="12" name="Kuva 12" descr="Kuvassa esitetään tehokkaan tiheyden lukuarvoa väreillä erottelevat pallot Helsingin kaupungin alueel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uva 12" descr="Kuvassa esitetään tehokkaan tiheyden lukuarvoa väreillä erottelevat pallot Helsingin kaupungin alueella. "/>
                    <pic:cNvPicPr/>
                  </pic:nvPicPr>
                  <pic:blipFill>
                    <a:blip r:embed="rId19">
                      <a:extLst>
                        <a:ext uri="{28A0092B-C50C-407E-A947-70E740481C1C}">
                          <a14:useLocalDpi xmlns:a14="http://schemas.microsoft.com/office/drawing/2010/main" val="0"/>
                        </a:ext>
                      </a:extLst>
                    </a:blip>
                    <a:stretch>
                      <a:fillRect/>
                    </a:stretch>
                  </pic:blipFill>
                  <pic:spPr>
                    <a:xfrm>
                      <a:off x="0" y="0"/>
                      <a:ext cx="5283862" cy="3886402"/>
                    </a:xfrm>
                    <a:prstGeom prst="rect">
                      <a:avLst/>
                    </a:prstGeom>
                  </pic:spPr>
                </pic:pic>
              </a:graphicData>
            </a:graphic>
          </wp:inline>
        </w:drawing>
      </w:r>
    </w:p>
    <w:p w14:paraId="6E7643BA" w14:textId="77777777" w:rsidR="00EE6FFC" w:rsidRDefault="00EE6FFC" w:rsidP="00EE6FFC">
      <w:pPr>
        <w:pStyle w:val="BodyText"/>
      </w:pPr>
    </w:p>
    <w:p w14:paraId="57B25C07" w14:textId="506C86A5" w:rsidR="00487F35" w:rsidRDefault="000132F9" w:rsidP="00EE6FFC">
      <w:pPr>
        <w:pStyle w:val="BodyText"/>
      </w:pPr>
      <w:r>
        <w:t xml:space="preserve">Tehokkaan tiheyden lukuarvot on skaalattu siten että maksimiarvo on 1000. Kuvasta </w:t>
      </w:r>
      <w:r w:rsidR="005029AD">
        <w:t>4</w:t>
      </w:r>
      <w:r>
        <w:t xml:space="preserve"> nähdään että tehokkain alue on Helsingin ydinkeskustassa Kolmen Sepän aukiolla. Vertailuskenaario</w:t>
      </w:r>
      <w:r w:rsidR="007B195D">
        <w:t>i</w:t>
      </w:r>
      <w:r>
        <w:t xml:space="preserve">ssa tehokkaat tiheydet on skaalattu samalla </w:t>
      </w:r>
      <w:r w:rsidR="00E14CA9">
        <w:t>kertoimella, jolloin alueet ja skenaariot ovat keskenään vertailukelpoisia.</w:t>
      </w:r>
    </w:p>
    <w:p w14:paraId="5D999874" w14:textId="4CB45514" w:rsidR="005172DB" w:rsidRDefault="00AF1607" w:rsidP="00DB62FD">
      <w:pPr>
        <w:pStyle w:val="BodyText"/>
      </w:pPr>
      <w:r>
        <w:t>Tehokkaan tiheyden arvot vaikuttavat intuitiivisesti ajateltuna oikean suuntaisilta.</w:t>
      </w:r>
      <w:r w:rsidR="005172DB">
        <w:t xml:space="preserve"> </w:t>
      </w:r>
      <w:r w:rsidR="005172DB" w:rsidRPr="005172DB">
        <w:t>Ydinkeskusta ja aluekeskukset erottuvat tihentyminä ja suurten väylien varrella tehokas tiheys kasvaa.</w:t>
      </w:r>
    </w:p>
    <w:p w14:paraId="21B3DA28" w14:textId="36998DF0" w:rsidR="00AF1607" w:rsidRDefault="005172DB" w:rsidP="00215027">
      <w:pPr>
        <w:pStyle w:val="BodyText"/>
      </w:pPr>
      <w:r>
        <w:t xml:space="preserve">Tehokkaan tiheyden vaimeneminen yleistetyn matkavastuksen funktiona on estimoitu Helmet 4-mallin työperäisten matkojen perusteella. Kuvasta </w:t>
      </w:r>
      <w:r w:rsidR="005029AD">
        <w:t>4</w:t>
      </w:r>
      <w:r>
        <w:t xml:space="preserve"> nähdään että vaimeneminen tapahtuu nopeasti. Kun tehokas tiheys yhdistetään tuottavuusaineistoon, nähdään miten hyvin </w:t>
      </w:r>
      <w:r w:rsidR="00815F52">
        <w:t>tehokas tiheys</w:t>
      </w:r>
      <w:r>
        <w:t xml:space="preserve"> selittää eroja eri alueiden taloudellisessa tuottavuudessa. Mikäli selittävyys ei ole merkitsevä, voidaan joustokertoimien yhteydessä tarkentaa vielä tehokkaan tiheyden vaimenemisparametria, jotta tuottavuuden ja tehokkaan tiheyden välille saadaan </w:t>
      </w:r>
      <w:r w:rsidR="004A7644">
        <w:t>paremmin esille</w:t>
      </w:r>
      <w:r>
        <w:t xml:space="preserve">. </w:t>
      </w:r>
    </w:p>
    <w:p w14:paraId="76958738" w14:textId="29A120A9" w:rsidR="00C1420D" w:rsidRDefault="00C1420D" w:rsidP="00C1420D">
      <w:pPr>
        <w:pStyle w:val="Heading3"/>
      </w:pPr>
      <w:bookmarkStart w:id="29" w:name="_Toc76110792"/>
      <w:r>
        <w:t>Tehokkaan tiheyden muutos 2016–2020–2030</w:t>
      </w:r>
      <w:bookmarkEnd w:id="29"/>
      <w:r>
        <w:t xml:space="preserve"> </w:t>
      </w:r>
    </w:p>
    <w:p w14:paraId="38A1C5C3" w14:textId="0CFB2F57" w:rsidR="00C1420D" w:rsidRDefault="00C1420D" w:rsidP="00D924ED">
      <w:pPr>
        <w:pStyle w:val="BodyText"/>
      </w:pPr>
      <w:r>
        <w:t xml:space="preserve">Kuvissa </w:t>
      </w:r>
      <w:r w:rsidR="005029AD">
        <w:t>5</w:t>
      </w:r>
      <w:r>
        <w:t xml:space="preserve"> ja </w:t>
      </w:r>
      <w:r w:rsidR="005029AD">
        <w:t>6</w:t>
      </w:r>
      <w:r>
        <w:t xml:space="preserve"> on esitetty tehokkaan tiheyden muutos vuosien 2016 ja 2020 välillä. Seudun keskuksessa tehokas tiheys on yleensä ottaen kasvanut. Tuusulassa ja Järvenpäässä on tehokas tiheys vähentynyt. Erot vuosien 2016 ja 2020 tuloksissa johtuvat pelkästään muutoksista liikennejärjestelmässä (liikenteen matka-ajat ja </w:t>
      </w:r>
      <w:r w:rsidR="00D924ED">
        <w:t xml:space="preserve">autoliikenteen </w:t>
      </w:r>
      <w:r>
        <w:t>kustannukset</w:t>
      </w:r>
      <w:r w:rsidRPr="0099001E">
        <w:t>).</w:t>
      </w:r>
      <w:r w:rsidR="008C04C8" w:rsidRPr="0099001E">
        <w:t xml:space="preserve"> </w:t>
      </w:r>
      <w:r w:rsidR="00094ABC" w:rsidRPr="0099001E">
        <w:t>Vuosien 2016 ja 2020 väliin osui myös joukkoliikennelippujen vyöhykeuudistus</w:t>
      </w:r>
      <w:r w:rsidR="00D924ED" w:rsidRPr="0099001E">
        <w:t>. T</w:t>
      </w:r>
      <w:r w:rsidR="00094ABC" w:rsidRPr="0099001E">
        <w:t>ä</w:t>
      </w:r>
      <w:r w:rsidR="00D924ED" w:rsidRPr="0099001E">
        <w:t xml:space="preserve">ssä työssä vuosien 2016 ja 2020 laskelmat on tehty kuitenkin 2018 lipun hinnoilla, joten lippuvyöhykeuudistuksen vaikutus ei näy tuloksissa. </w:t>
      </w:r>
      <w:r w:rsidR="008C04C8" w:rsidRPr="0099001E">
        <w:t>Koronapandemian rajoituksista ja etätyön lisääntymisestä johtunutta liikkumisen muutosta ei ole otettu huomioon.</w:t>
      </w:r>
    </w:p>
    <w:p w14:paraId="312C8DA7" w14:textId="1F7F078E" w:rsidR="00C1420D" w:rsidRDefault="00C1420D" w:rsidP="00C1420D">
      <w:pPr>
        <w:pStyle w:val="BodyText"/>
      </w:pPr>
      <w:r>
        <w:t xml:space="preserve">Tuloksissa näkyvät myös muutokset kulkutapaosuuksissa. Esimerkiksi länsimetron liikennöinnin aloittaminen on lisännyt joukkoliikenteen kulkutapaosuutta metron </w:t>
      </w:r>
      <w:r>
        <w:lastRenderedPageBreak/>
        <w:t>vaikutusalueella, ja nopeusrajoitusten aleneminen Helsingissä on pienentänyt henkilöautoliikenneteen kulkutapaosuutta.</w:t>
      </w:r>
    </w:p>
    <w:p w14:paraId="04CACD22" w14:textId="02EBC6B0" w:rsidR="008C04C8" w:rsidRDefault="008C04C8" w:rsidP="008C04C8">
      <w:pPr>
        <w:pStyle w:val="Caption"/>
      </w:pPr>
      <w:r>
        <w:t xml:space="preserve">Kuva </w:t>
      </w:r>
      <w:r w:rsidR="0040610B">
        <w:fldChar w:fldCharType="begin"/>
      </w:r>
      <w:r w:rsidR="0040610B">
        <w:instrText xml:space="preserve"> SEQ Kuva \* ARABIC </w:instrText>
      </w:r>
      <w:r w:rsidR="0040610B">
        <w:fldChar w:fldCharType="separate"/>
      </w:r>
      <w:r>
        <w:rPr>
          <w:noProof/>
        </w:rPr>
        <w:t>5</w:t>
      </w:r>
      <w:r w:rsidR="0040610B">
        <w:rPr>
          <w:noProof/>
        </w:rPr>
        <w:fldChar w:fldCharType="end"/>
      </w:r>
      <w:r>
        <w:t xml:space="preserve">. Tehokkaan tiheyden muutos vuodesta 2016 vuoteen 2020 (kulkutapaosuusmuutokset huomioitu). </w:t>
      </w:r>
    </w:p>
    <w:p w14:paraId="742B89BC" w14:textId="6916A840" w:rsidR="00215027" w:rsidRDefault="00215027" w:rsidP="00215027">
      <w:pPr>
        <w:pStyle w:val="BodyText"/>
      </w:pPr>
      <w:r>
        <w:rPr>
          <w:noProof/>
          <w:lang w:eastAsia="fi-FI"/>
        </w:rPr>
        <w:drawing>
          <wp:inline distT="0" distB="0" distL="0" distR="0" wp14:anchorId="1D852A36" wp14:editId="4B4A230E">
            <wp:extent cx="5082190" cy="3738067"/>
            <wp:effectExtent l="0" t="0" r="4445" b="0"/>
            <wp:docPr id="18" name="Kuva 18" descr="Kuvassa esitetään tehokkaan tiheyden muutoksen 2016 - 2020 suuntaa (vähenee, kasvaa) väreillä erottelevat pallot Helsingin seudul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uva 18" descr="Kuvassa esitetään tehokkaan tiheyden muutoksen 2016 - 2020 suuntaa (vähenee, kasvaa) väreillä erottelevat pallot Helsingin seudulla. "/>
                    <pic:cNvPicPr/>
                  </pic:nvPicPr>
                  <pic:blipFill>
                    <a:blip r:embed="rId20">
                      <a:extLst>
                        <a:ext uri="{28A0092B-C50C-407E-A947-70E740481C1C}">
                          <a14:useLocalDpi xmlns:a14="http://schemas.microsoft.com/office/drawing/2010/main" val="0"/>
                        </a:ext>
                      </a:extLst>
                    </a:blip>
                    <a:stretch>
                      <a:fillRect/>
                    </a:stretch>
                  </pic:blipFill>
                  <pic:spPr>
                    <a:xfrm>
                      <a:off x="0" y="0"/>
                      <a:ext cx="5101188" cy="3752041"/>
                    </a:xfrm>
                    <a:prstGeom prst="rect">
                      <a:avLst/>
                    </a:prstGeom>
                  </pic:spPr>
                </pic:pic>
              </a:graphicData>
            </a:graphic>
          </wp:inline>
        </w:drawing>
      </w:r>
    </w:p>
    <w:p w14:paraId="5E56F478" w14:textId="77777777" w:rsidR="008C04C8" w:rsidRDefault="008C04C8" w:rsidP="008C04C8">
      <w:pPr>
        <w:pStyle w:val="Caption"/>
      </w:pPr>
      <w:r>
        <w:t xml:space="preserve">Kuva </w:t>
      </w:r>
      <w:r w:rsidR="0040610B">
        <w:fldChar w:fldCharType="begin"/>
      </w:r>
      <w:r w:rsidR="0040610B">
        <w:instrText xml:space="preserve"> SEQ Kuva \* ARABIC </w:instrText>
      </w:r>
      <w:r w:rsidR="0040610B">
        <w:fldChar w:fldCharType="separate"/>
      </w:r>
      <w:r>
        <w:rPr>
          <w:noProof/>
        </w:rPr>
        <w:t>6</w:t>
      </w:r>
      <w:r w:rsidR="0040610B">
        <w:rPr>
          <w:noProof/>
        </w:rPr>
        <w:fldChar w:fldCharType="end"/>
      </w:r>
      <w:r>
        <w:t>. Tehokkaan tiheyden muutos Helsingissä vuodesta 2016 vuoteen 2020 (kulkutapaosuusmuutokset huomioitu).</w:t>
      </w:r>
    </w:p>
    <w:p w14:paraId="7FF21C81" w14:textId="7980BEC6" w:rsidR="00D30AA2" w:rsidRDefault="00D30AA2" w:rsidP="00215027">
      <w:pPr>
        <w:pStyle w:val="BodyText"/>
      </w:pPr>
      <w:r>
        <w:rPr>
          <w:noProof/>
          <w:lang w:eastAsia="fi-FI"/>
        </w:rPr>
        <w:drawing>
          <wp:inline distT="0" distB="0" distL="0" distR="0" wp14:anchorId="22C8B4DE" wp14:editId="696C4C7C">
            <wp:extent cx="5102082" cy="3752697"/>
            <wp:effectExtent l="0" t="0" r="3810" b="635"/>
            <wp:docPr id="19" name="Kuva 19" descr="Kuvassa esitetään tehokkaan tiheyden muutoksen 2016 - 2020 lukuarvot Helsingin kaupungin alue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uva 19" descr="Kuvassa esitetään tehokkaan tiheyden muutoksen 2016 - 2020 lukuarvot Helsingin kaupungin alueella."/>
                    <pic:cNvPicPr/>
                  </pic:nvPicPr>
                  <pic:blipFill>
                    <a:blip r:embed="rId21">
                      <a:extLst>
                        <a:ext uri="{28A0092B-C50C-407E-A947-70E740481C1C}">
                          <a14:useLocalDpi xmlns:a14="http://schemas.microsoft.com/office/drawing/2010/main" val="0"/>
                        </a:ext>
                      </a:extLst>
                    </a:blip>
                    <a:stretch>
                      <a:fillRect/>
                    </a:stretch>
                  </pic:blipFill>
                  <pic:spPr>
                    <a:xfrm>
                      <a:off x="0" y="0"/>
                      <a:ext cx="5117409" cy="3763970"/>
                    </a:xfrm>
                    <a:prstGeom prst="rect">
                      <a:avLst/>
                    </a:prstGeom>
                  </pic:spPr>
                </pic:pic>
              </a:graphicData>
            </a:graphic>
          </wp:inline>
        </w:drawing>
      </w:r>
    </w:p>
    <w:p w14:paraId="1A4C687F" w14:textId="635B1B6E" w:rsidR="007278A5" w:rsidRDefault="00DB62FD" w:rsidP="007278A5">
      <w:pPr>
        <w:pStyle w:val="BodyText"/>
      </w:pPr>
      <w:r>
        <w:lastRenderedPageBreak/>
        <w:t xml:space="preserve">Kuvassa </w:t>
      </w:r>
      <w:r w:rsidR="005029AD">
        <w:t>7</w:t>
      </w:r>
      <w:r>
        <w:t xml:space="preserve"> on esitetty tehokkaan tiheyden muutos vuosien 2016 ja 2020 välillä ilman kulkutapaosuusmuutoksia. Laskelmassa on oletettu, että vuoden 2016 kulkutapaosuudet ovat samat kuin vuonna 2020 kaikkien alueparien välillä. Kun verrataan kuvia </w:t>
      </w:r>
      <w:r w:rsidR="005029AD">
        <w:t>5</w:t>
      </w:r>
      <w:r>
        <w:t xml:space="preserve"> ja </w:t>
      </w:r>
      <w:r w:rsidR="005029AD">
        <w:t>7</w:t>
      </w:r>
      <w:r>
        <w:t xml:space="preserve">, nähdään että kulkutapaosuusmuutosten huomioiminen vaikuttaa tuloksiin ratkaisevasti. Kuvassa </w:t>
      </w:r>
      <w:r w:rsidR="005029AD">
        <w:t>7</w:t>
      </w:r>
      <w:r>
        <w:t xml:space="preserve"> tehokas tiheys on laskenut lähes koko seudulla lukuun ottamatta länsimetron käytävää. Tiheyden laskemisen taustalla on tehdyt nopeusrajoitusten alentamiset, jotka eivät kuitenkaan ole </w:t>
      </w:r>
      <w:r w:rsidR="00D609F3">
        <w:t xml:space="preserve">kuvan </w:t>
      </w:r>
      <w:r w:rsidR="005029AD">
        <w:t>7</w:t>
      </w:r>
      <w:r>
        <w:t xml:space="preserve"> laskelmassa vaikuttaneet kulkutapaosuuksiin. </w:t>
      </w:r>
    </w:p>
    <w:p w14:paraId="31E07BE9" w14:textId="77777777" w:rsidR="000F1DCD" w:rsidRDefault="007278A5" w:rsidP="00D30AA2">
      <w:pPr>
        <w:pStyle w:val="BodyText"/>
      </w:pPr>
      <w:r w:rsidRPr="004B2F7F">
        <w:t>Kulkutapaosuuksien vakiointi on tehty lähinnä sen vuoksi, että nähdään mikä merkitys kulkutapaosuusmuutoksilla on tehokkaan tiheyden arvoihin. Tarkastelu näyttää sen, että kulkutapaosuusmuutoksilla on vaikutusta</w:t>
      </w:r>
      <w:r w:rsidR="000F1DCD">
        <w:t>.</w:t>
      </w:r>
    </w:p>
    <w:p w14:paraId="129A5992" w14:textId="1374463E" w:rsidR="005C6984" w:rsidRDefault="000F1DCD" w:rsidP="00BA5326">
      <w:pPr>
        <w:pStyle w:val="BodyText"/>
      </w:pPr>
      <w:r w:rsidRPr="0099001E">
        <w:t xml:space="preserve">Kun kulkutapaosuusmuutokset </w:t>
      </w:r>
      <w:r w:rsidR="00643468" w:rsidRPr="0099001E">
        <w:t>otetaan mukaan</w:t>
      </w:r>
      <w:r w:rsidRPr="0099001E">
        <w:t xml:space="preserve"> tehokkaan tiheyden lasken</w:t>
      </w:r>
      <w:r w:rsidR="00643468" w:rsidRPr="0099001E">
        <w:t>taan</w:t>
      </w:r>
      <w:r w:rsidRPr="0099001E">
        <w:t>, tulee huomioiduksi se, että matkustuskäyttäytyminen muuttuu</w:t>
      </w:r>
      <w:r w:rsidR="0099001E" w:rsidRPr="0099001E">
        <w:t xml:space="preserve"> </w:t>
      </w:r>
      <w:r w:rsidRPr="0099001E">
        <w:t xml:space="preserve">liikennejärjestelmän muuttuessa. Esimerkiksi </w:t>
      </w:r>
      <w:r w:rsidR="005C6984" w:rsidRPr="0099001E">
        <w:t>jos</w:t>
      </w:r>
      <w:r w:rsidRPr="0099001E">
        <w:t xml:space="preserve"> nopeusrajoituksia lasketaan</w:t>
      </w:r>
      <w:r w:rsidR="00094ABC" w:rsidRPr="0099001E">
        <w:t xml:space="preserve"> ja samanaikaisesti parannetaan joukkoliikennejärjestelmää</w:t>
      </w:r>
      <w:r w:rsidRPr="0099001E">
        <w:t>, matkojen suuntautuminen ja kulkutapa muuttu</w:t>
      </w:r>
      <w:r w:rsidR="005C6984" w:rsidRPr="0099001E">
        <w:t>u, jolloin alueen tehokas tiheys ei välttämättä laske, jos vaihtoehtoiset matkakohteet ja kulkutavat ovat riittävän kilpailukykyisiä. Vastaavasti jos liikennejärjestelmää parannetaan (esimerkiksi rakentamalla uusi väylä) on vaikutus tehokkaaseen tiheyteen suurempi</w:t>
      </w:r>
      <w:r w:rsidR="00BA5326" w:rsidRPr="0099001E">
        <w:t>,</w:t>
      </w:r>
      <w:r w:rsidR="005C6984" w:rsidRPr="0099001E">
        <w:t xml:space="preserve"> </w:t>
      </w:r>
      <w:r w:rsidR="00BA5326" w:rsidRPr="0099001E">
        <w:t>kun</w:t>
      </w:r>
      <w:r w:rsidR="005C6984" w:rsidRPr="0099001E">
        <w:t xml:space="preserve"> kulkutapamuutokset otetaan huomioon.</w:t>
      </w:r>
    </w:p>
    <w:p w14:paraId="1A42D5F1" w14:textId="77777777" w:rsidR="008C04C8" w:rsidRDefault="008C04C8" w:rsidP="008C04C8">
      <w:pPr>
        <w:pStyle w:val="Caption"/>
      </w:pPr>
      <w:r>
        <w:t xml:space="preserve">Kuva </w:t>
      </w:r>
      <w:r w:rsidR="0040610B">
        <w:fldChar w:fldCharType="begin"/>
      </w:r>
      <w:r w:rsidR="0040610B">
        <w:instrText xml:space="preserve"> SEQ Kuva \* ARABIC </w:instrText>
      </w:r>
      <w:r w:rsidR="0040610B">
        <w:fldChar w:fldCharType="separate"/>
      </w:r>
      <w:r>
        <w:rPr>
          <w:noProof/>
        </w:rPr>
        <w:t>7</w:t>
      </w:r>
      <w:r w:rsidR="0040610B">
        <w:rPr>
          <w:noProof/>
        </w:rPr>
        <w:fldChar w:fldCharType="end"/>
      </w:r>
      <w:r>
        <w:t>. Tehokkaan tiheyden muutos vuodesta 2016 vuoteen 2020 (kulkutapaosuudet kiinnitetty vuoden 2020 tasolle).</w:t>
      </w:r>
    </w:p>
    <w:p w14:paraId="656E7F4C" w14:textId="3F013AEF" w:rsidR="009E0536" w:rsidRDefault="009E0536" w:rsidP="00D30AA2">
      <w:pPr>
        <w:pStyle w:val="BodyText"/>
      </w:pPr>
      <w:r>
        <w:rPr>
          <w:noProof/>
          <w:lang w:eastAsia="fi-FI"/>
        </w:rPr>
        <w:drawing>
          <wp:inline distT="0" distB="0" distL="0" distR="0" wp14:anchorId="1FF0A3A9" wp14:editId="78918903">
            <wp:extent cx="5264647" cy="3872285"/>
            <wp:effectExtent l="0" t="0" r="0" b="0"/>
            <wp:docPr id="20" name="Kuva 20" descr="Kuvassa esitetään tehokkaan tiheyden muutoksen 2016 - 2020 suuntaa (vähenee, kasvaa) väreillä erottelevat pallot Helsingin seudu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uva 20" descr="Kuvassa esitetään tehokkaan tiheyden muutoksen 2016 - 2020 suuntaa (vähenee, kasvaa) väreillä erottelevat pallot Helsingin seudulla."/>
                    <pic:cNvPicPr/>
                  </pic:nvPicPr>
                  <pic:blipFill>
                    <a:blip r:embed="rId22">
                      <a:extLst>
                        <a:ext uri="{28A0092B-C50C-407E-A947-70E740481C1C}">
                          <a14:useLocalDpi xmlns:a14="http://schemas.microsoft.com/office/drawing/2010/main" val="0"/>
                        </a:ext>
                      </a:extLst>
                    </a:blip>
                    <a:stretch>
                      <a:fillRect/>
                    </a:stretch>
                  </pic:blipFill>
                  <pic:spPr>
                    <a:xfrm>
                      <a:off x="0" y="0"/>
                      <a:ext cx="5291123" cy="3891759"/>
                    </a:xfrm>
                    <a:prstGeom prst="rect">
                      <a:avLst/>
                    </a:prstGeom>
                  </pic:spPr>
                </pic:pic>
              </a:graphicData>
            </a:graphic>
          </wp:inline>
        </w:drawing>
      </w:r>
    </w:p>
    <w:p w14:paraId="51C90B0C" w14:textId="28B9AC3E" w:rsidR="00C1420D" w:rsidRDefault="00C1420D" w:rsidP="00C1420D"/>
    <w:p w14:paraId="38F8E393" w14:textId="4427DFE2" w:rsidR="009E2DF8" w:rsidRDefault="00C1420D" w:rsidP="00C1420D">
      <w:pPr>
        <w:pStyle w:val="BodyText"/>
      </w:pPr>
      <w:r>
        <w:t xml:space="preserve">Kuvissa </w:t>
      </w:r>
      <w:r w:rsidR="005029AD">
        <w:t>8</w:t>
      </w:r>
      <w:r>
        <w:t xml:space="preserve"> ja </w:t>
      </w:r>
      <w:r w:rsidR="005029AD">
        <w:t>9</w:t>
      </w:r>
      <w:r>
        <w:t xml:space="preserve"> on esitetty tehokkaan tiheyden muutos vuosien 2020 ja 2030 välillä. Tehokas tiheys kasvaa Helsingin kantakaupungissa, Etelä-Espoossa ja kehyskunnissa. Laskelman pohjana olevassa 2030 MAL-skenaariossa on tiemaksut, jotka pienentävät Kehä III:n sisäpuolisen alueen tehokasta tiheyttä edellä mainittuja alueita lukuun ottamatta.</w:t>
      </w:r>
    </w:p>
    <w:p w14:paraId="1C75CAA4" w14:textId="7AB08522" w:rsidR="00C1420D" w:rsidRPr="005D7BF5" w:rsidRDefault="009E2DF8" w:rsidP="00C1420D">
      <w:pPr>
        <w:pStyle w:val="BodyText"/>
      </w:pPr>
      <w:r w:rsidRPr="005D7BF5">
        <w:lastRenderedPageBreak/>
        <w:t>Alueet, joilla tehokas tiheys pienenee sijaitsevat tiemaksuporttien läheisyydessä. Tiemaksu sisältyy yleistettyyn matkakustannukseen (kaava 5), mikä pienentää tehokasta tiheyttä niiden alueparien välillä, jotka käyttävät tiemaksuporttia.</w:t>
      </w:r>
    </w:p>
    <w:p w14:paraId="60F06BE0" w14:textId="65106F09" w:rsidR="009E2DF8" w:rsidRDefault="009E2DF8" w:rsidP="00C1420D">
      <w:pPr>
        <w:pStyle w:val="BodyText"/>
      </w:pPr>
      <w:r w:rsidRPr="005D7BF5">
        <w:t>Helsingin kantakaupungin sisällä ei ole MAL 2030 skenaariossa tiemaksuja. Kantakaupungin työpaikkamäärien kasvu parantaa sen tehokasta tiheyttä, vaikka yleistetty matkakustannus kantakaupungin ulkopuolelle kasvaakin.</w:t>
      </w:r>
    </w:p>
    <w:p w14:paraId="1D72B23B" w14:textId="77777777" w:rsidR="008C04C8" w:rsidRDefault="008C04C8" w:rsidP="008C04C8">
      <w:pPr>
        <w:pStyle w:val="Caption"/>
      </w:pPr>
      <w:r w:rsidRPr="009932F4">
        <w:t xml:space="preserve">Kuva </w:t>
      </w:r>
      <w:fldSimple w:instr=" SEQ Kuva \* ARABIC ">
        <w:r w:rsidRPr="009932F4">
          <w:rPr>
            <w:noProof/>
          </w:rPr>
          <w:t>8</w:t>
        </w:r>
      </w:fldSimple>
      <w:r w:rsidRPr="009932F4">
        <w:rPr>
          <w:color w:val="C00000"/>
        </w:rPr>
        <w:t>.</w:t>
      </w:r>
      <w:r w:rsidRPr="009932F4">
        <w:t xml:space="preserve"> Tehokkaan tiheyden muutos 2030 MAL-skenaariossa vuoteen 2020 verrattuna.</w:t>
      </w:r>
    </w:p>
    <w:p w14:paraId="26085478" w14:textId="77777777" w:rsidR="00C1420D" w:rsidRDefault="00C1420D" w:rsidP="00C1420D">
      <w:pPr>
        <w:pStyle w:val="BodyText"/>
      </w:pPr>
      <w:r>
        <w:rPr>
          <w:noProof/>
          <w:lang w:eastAsia="fi-FI"/>
        </w:rPr>
        <w:drawing>
          <wp:inline distT="0" distB="0" distL="0" distR="0" wp14:anchorId="1A2F951E" wp14:editId="37A760E8">
            <wp:extent cx="5274945" cy="4164173"/>
            <wp:effectExtent l="0" t="0" r="1905" b="8255"/>
            <wp:docPr id="24" name="Kuva 24" descr="Kuvassa esitetään tehokkaan tiheyden muutoksen 2020 - 2030 suuntaa (vähenee, kasvaa) väreillä erottelevat pallot Helsingin seudu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uva 24" descr="Kuvassa esitetään tehokkaan tiheyden muutoksen 2020 - 2030 suuntaa (vähenee, kasvaa) väreillä erottelevat pallot Helsingin seudulla."/>
                    <pic:cNvPicPr/>
                  </pic:nvPicPr>
                  <pic:blipFill>
                    <a:blip r:embed="rId23">
                      <a:extLst>
                        <a:ext uri="{28A0092B-C50C-407E-A947-70E740481C1C}">
                          <a14:useLocalDpi xmlns:a14="http://schemas.microsoft.com/office/drawing/2010/main" val="0"/>
                        </a:ext>
                      </a:extLst>
                    </a:blip>
                    <a:stretch>
                      <a:fillRect/>
                    </a:stretch>
                  </pic:blipFill>
                  <pic:spPr>
                    <a:xfrm>
                      <a:off x="0" y="0"/>
                      <a:ext cx="5280931" cy="4168899"/>
                    </a:xfrm>
                    <a:prstGeom prst="rect">
                      <a:avLst/>
                    </a:prstGeom>
                  </pic:spPr>
                </pic:pic>
              </a:graphicData>
            </a:graphic>
          </wp:inline>
        </w:drawing>
      </w:r>
    </w:p>
    <w:p w14:paraId="0C00833B" w14:textId="77777777" w:rsidR="009932F4" w:rsidRDefault="009932F4" w:rsidP="009932F4">
      <w:pPr>
        <w:pStyle w:val="BodyText"/>
      </w:pPr>
    </w:p>
    <w:p w14:paraId="5EA456EB" w14:textId="27FF6633" w:rsidR="009932F4" w:rsidRDefault="009932F4" w:rsidP="009932F4">
      <w:pPr>
        <w:pStyle w:val="BodyText"/>
      </w:pPr>
      <w:r>
        <w:t xml:space="preserve">Kuvassa 10 on ennuste työpaikkamäärien muutoksesta vuosien 2020 ja 2030 välillä. Työpaikkamäärien on ennustettu kasvavan lähes koko seudun tasolla, vaikka tiemaksujen takia tehokas tiheys laskeekin useilla alueilla. </w:t>
      </w:r>
    </w:p>
    <w:p w14:paraId="66534602" w14:textId="61A76756" w:rsidR="009932F4" w:rsidRDefault="009932F4">
      <w:pPr>
        <w:rPr>
          <w:i/>
          <w:iCs/>
          <w:sz w:val="18"/>
          <w:szCs w:val="18"/>
        </w:rPr>
      </w:pPr>
    </w:p>
    <w:p w14:paraId="2C77B205" w14:textId="77777777" w:rsidR="009932F4" w:rsidRDefault="009932F4">
      <w:pPr>
        <w:rPr>
          <w:i/>
          <w:iCs/>
          <w:sz w:val="18"/>
          <w:szCs w:val="18"/>
        </w:rPr>
      </w:pPr>
      <w:r>
        <w:br w:type="page"/>
      </w:r>
    </w:p>
    <w:p w14:paraId="4323F035" w14:textId="0AB7139A" w:rsidR="008C04C8" w:rsidRDefault="008C04C8" w:rsidP="008C04C8">
      <w:pPr>
        <w:pStyle w:val="Caption"/>
      </w:pPr>
      <w:r w:rsidRPr="009932F4">
        <w:lastRenderedPageBreak/>
        <w:t xml:space="preserve">Kuva </w:t>
      </w:r>
      <w:fldSimple w:instr=" SEQ Kuva \* ARABIC ">
        <w:r w:rsidRPr="009932F4">
          <w:rPr>
            <w:noProof/>
          </w:rPr>
          <w:t>9</w:t>
        </w:r>
      </w:fldSimple>
      <w:r w:rsidRPr="009932F4">
        <w:t>. Tehokkaan tiheyden muutos Helsingissä 2030 MAL-skenaariossa vuoteen 2020 verrattuna.</w:t>
      </w:r>
    </w:p>
    <w:p w14:paraId="0B04F5CF" w14:textId="574FD794" w:rsidR="00C1420D" w:rsidRDefault="00C1420D" w:rsidP="00C1420D">
      <w:pPr>
        <w:pStyle w:val="BodyText"/>
      </w:pPr>
      <w:r>
        <w:rPr>
          <w:noProof/>
          <w:lang w:eastAsia="fi-FI"/>
        </w:rPr>
        <w:drawing>
          <wp:inline distT="0" distB="0" distL="0" distR="0" wp14:anchorId="5BDDDC1F" wp14:editId="7E4B93AF">
            <wp:extent cx="5266944" cy="4157857"/>
            <wp:effectExtent l="0" t="0" r="0" b="0"/>
            <wp:docPr id="26" name="Kuva 26" descr="Kuvassa esitetään tehokkaan tiheyden muutoksen 2020 - 2030 suuntaa (vähenee, kasvaa) väreillä erottelevat pallot ja lukuarvot Helsingin kaupungin alue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uva 26" descr="Kuvassa esitetään tehokkaan tiheyden muutoksen 2020 - 2030 suuntaa (vähenee, kasvaa) väreillä erottelevat pallot ja lukuarvot Helsingin kaupungin alueella."/>
                    <pic:cNvPicPr/>
                  </pic:nvPicPr>
                  <pic:blipFill>
                    <a:blip r:embed="rId24">
                      <a:extLst>
                        <a:ext uri="{28A0092B-C50C-407E-A947-70E740481C1C}">
                          <a14:useLocalDpi xmlns:a14="http://schemas.microsoft.com/office/drawing/2010/main" val="0"/>
                        </a:ext>
                      </a:extLst>
                    </a:blip>
                    <a:stretch>
                      <a:fillRect/>
                    </a:stretch>
                  </pic:blipFill>
                  <pic:spPr>
                    <a:xfrm>
                      <a:off x="0" y="0"/>
                      <a:ext cx="5274600" cy="4163901"/>
                    </a:xfrm>
                    <a:prstGeom prst="rect">
                      <a:avLst/>
                    </a:prstGeom>
                  </pic:spPr>
                </pic:pic>
              </a:graphicData>
            </a:graphic>
          </wp:inline>
        </w:drawing>
      </w:r>
    </w:p>
    <w:p w14:paraId="3E2BB2EA" w14:textId="2BDEA47D" w:rsidR="008C04C8" w:rsidRDefault="008C04C8">
      <w:pPr>
        <w:rPr>
          <w:i/>
          <w:iCs/>
          <w:sz w:val="18"/>
          <w:szCs w:val="18"/>
        </w:rPr>
      </w:pPr>
    </w:p>
    <w:p w14:paraId="151B45E9" w14:textId="5255BC75" w:rsidR="008C04C8" w:rsidRDefault="008C04C8" w:rsidP="008C04C8">
      <w:pPr>
        <w:pStyle w:val="Caption"/>
      </w:pPr>
      <w:r>
        <w:t xml:space="preserve">Kuva </w:t>
      </w:r>
      <w:r w:rsidR="0040610B">
        <w:fldChar w:fldCharType="begin"/>
      </w:r>
      <w:r w:rsidR="0040610B">
        <w:instrText xml:space="preserve"> SEQ Kuva \* ARABIC </w:instrText>
      </w:r>
      <w:r w:rsidR="0040610B">
        <w:fldChar w:fldCharType="separate"/>
      </w:r>
      <w:r>
        <w:rPr>
          <w:noProof/>
        </w:rPr>
        <w:t>10</w:t>
      </w:r>
      <w:r w:rsidR="0040610B">
        <w:rPr>
          <w:noProof/>
        </w:rPr>
        <w:fldChar w:fldCharType="end"/>
      </w:r>
      <w:r>
        <w:t>. Työpaikkamäärien muutos 2030 MAL-skenaariossa vuoteen 2020 verrattuna.</w:t>
      </w:r>
    </w:p>
    <w:p w14:paraId="14965712" w14:textId="77777777" w:rsidR="00C1420D" w:rsidRDefault="00C1420D" w:rsidP="00C1420D">
      <w:pPr>
        <w:pStyle w:val="BodyText"/>
      </w:pPr>
      <w:r>
        <w:rPr>
          <w:noProof/>
          <w:lang w:eastAsia="fi-FI"/>
        </w:rPr>
        <w:drawing>
          <wp:inline distT="0" distB="0" distL="0" distR="0" wp14:anchorId="1939FDC0" wp14:editId="581267CD">
            <wp:extent cx="5271715" cy="3877483"/>
            <wp:effectExtent l="0" t="0" r="5715" b="8890"/>
            <wp:docPr id="29" name="Kuva 29" descr="Kuvassa esitetään työpaikkamäärien  muutoksen 2016 - 2020 suuntaa (vähenee, kasvaa) väreillä erottelevat pallot Helsingin seudulla.  Suurimmissa palloissa esitetään lukuarv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uva 29" descr="Kuvassa esitetään työpaikkamäärien  muutoksen 2016 - 2020 suuntaa (vähenee, kasvaa) väreillä erottelevat pallot Helsingin seudulla.  Suurimmissa palloissa esitetään lukuarvot."/>
                    <pic:cNvPicPr/>
                  </pic:nvPicPr>
                  <pic:blipFill>
                    <a:blip r:embed="rId25">
                      <a:extLst>
                        <a:ext uri="{28A0092B-C50C-407E-A947-70E740481C1C}">
                          <a14:useLocalDpi xmlns:a14="http://schemas.microsoft.com/office/drawing/2010/main" val="0"/>
                        </a:ext>
                      </a:extLst>
                    </a:blip>
                    <a:stretch>
                      <a:fillRect/>
                    </a:stretch>
                  </pic:blipFill>
                  <pic:spPr>
                    <a:xfrm>
                      <a:off x="0" y="0"/>
                      <a:ext cx="5279801" cy="3883430"/>
                    </a:xfrm>
                    <a:prstGeom prst="rect">
                      <a:avLst/>
                    </a:prstGeom>
                  </pic:spPr>
                </pic:pic>
              </a:graphicData>
            </a:graphic>
          </wp:inline>
        </w:drawing>
      </w:r>
    </w:p>
    <w:p w14:paraId="2C969204" w14:textId="49148352" w:rsidR="00C1420D" w:rsidRDefault="00C1420D" w:rsidP="00C1420D">
      <w:pPr>
        <w:pStyle w:val="Heading3"/>
      </w:pPr>
      <w:bookmarkStart w:id="30" w:name="_Toc76110793"/>
      <w:r>
        <w:lastRenderedPageBreak/>
        <w:t>Aluejaon merkitys</w:t>
      </w:r>
      <w:bookmarkEnd w:id="30"/>
    </w:p>
    <w:p w14:paraId="636C7CE0" w14:textId="6354EE95" w:rsidR="00C1420D" w:rsidRDefault="00C1420D" w:rsidP="00C1420D">
      <w:pPr>
        <w:pStyle w:val="BodyText"/>
      </w:pPr>
      <w:r>
        <w:t xml:space="preserve">Kuvassa </w:t>
      </w:r>
      <w:r w:rsidR="000B6E1E">
        <w:t>1</w:t>
      </w:r>
      <w:r w:rsidR="005029AD">
        <w:t>1</w:t>
      </w:r>
      <w:r>
        <w:t xml:space="preserve"> on esitetty tehokkaan tiheyden arvot 500 m x 500 m ruutualuejaossa. Aluejaolla on vaikutusta tehokkaan tiheyden tuloksiin. Hienojakoisemmalla aluejaolla laskettuna läheiset työpaikkakeskittymät ”sijaitsevat lähempänä” kuin karkeammalla aluejaolla laskettuna, jolloin työpaikka-alueiden välinen tehokkaan tiheyden vaimeneminen vähäisempää. Hienojakoisemmalla aluejaolla myös alueen sisäinen säde on pienempi, jolloin alueen oman työpaikkamäärän vaikutus tehokkaaseen tiheyteen on suurempi. Tehokkaan tiheyden arvon maksimi on 1710 Kolmen Sepän (Helmet</w:t>
      </w:r>
      <w:r w:rsidR="000B6E1E">
        <w:t>-</w:t>
      </w:r>
      <w:r>
        <w:t>aluejaossa vastaava arvo on 1000).</w:t>
      </w:r>
    </w:p>
    <w:p w14:paraId="587AE83D" w14:textId="30F24B1E" w:rsidR="00EB7810" w:rsidRDefault="002E43BD" w:rsidP="00DF0C8D">
      <w:pPr>
        <w:pStyle w:val="BodyText"/>
        <w:rPr>
          <w:rFonts w:eastAsiaTheme="minorEastAsia"/>
        </w:rPr>
      </w:pPr>
      <w:r w:rsidRPr="004B2F7F">
        <w:t>Sisäinen säde on tämän työn yhteydessä määritelty alueen</w:t>
      </w:r>
      <w:r w:rsidR="007F3B4B" w:rsidRPr="004B2F7F">
        <w:t xml:space="preserve"> </w:t>
      </w:r>
      <w:r w:rsidRPr="004B2F7F">
        <w:t>minimivastukse</w:t>
      </w:r>
      <w:r w:rsidR="00116799" w:rsidRPr="004B2F7F">
        <w:t>na</w:t>
      </w:r>
      <w:r w:rsidRPr="004B2F7F">
        <w:t xml:space="preserve"> lähim</w:t>
      </w:r>
      <w:r w:rsidR="007F3B4B" w:rsidRPr="004B2F7F">
        <w:t>mälle</w:t>
      </w:r>
      <w:r w:rsidRPr="004B2F7F">
        <w:t xml:space="preserve"> naapurialuee</w:t>
      </w:r>
      <w:r w:rsidR="007F3B4B" w:rsidRPr="004B2F7F">
        <w:t>lle</w:t>
      </w:r>
      <w:r w:rsidRPr="004B2F7F">
        <w:t xml:space="preserve"> (yleistetyn matkavastuksen perusteella) jaettuna arvolla </w:t>
      </w:r>
      <m:oMath>
        <m:rad>
          <m:radPr>
            <m:degHide m:val="1"/>
            <m:ctrlPr>
              <w:rPr>
                <w:rFonts w:ascii="Cambria Math" w:hAnsi="Cambria Math"/>
                <w:i/>
              </w:rPr>
            </m:ctrlPr>
          </m:radPr>
          <m:deg/>
          <m:e>
            <m:r>
              <w:rPr>
                <w:rFonts w:ascii="Cambria Math" w:hAnsi="Cambria Math"/>
              </w:rPr>
              <m:t>2</m:t>
            </m:r>
          </m:e>
        </m:rad>
      </m:oMath>
      <w:r w:rsidRPr="004B2F7F">
        <w:rPr>
          <w:rFonts w:eastAsiaTheme="minorEastAsia"/>
        </w:rPr>
        <w:t xml:space="preserve">. </w:t>
      </w:r>
      <w:r w:rsidR="00AC56C5" w:rsidRPr="004B2F7F">
        <w:rPr>
          <w:rFonts w:eastAsiaTheme="minorEastAsia"/>
        </w:rPr>
        <w:t>Jakajan arvo kuvastaa sitä, että alueen sisäiset matkat ovat keskimäärin lyhempiä kuin lähimmälle naapurialueelle suuntau</w:t>
      </w:r>
      <w:r w:rsidR="00116799" w:rsidRPr="004B2F7F">
        <w:rPr>
          <w:rFonts w:eastAsiaTheme="minorEastAsia"/>
        </w:rPr>
        <w:t>tu</w:t>
      </w:r>
      <w:r w:rsidR="00AC56C5" w:rsidRPr="004B2F7F">
        <w:rPr>
          <w:rFonts w:eastAsiaTheme="minorEastAsia"/>
        </w:rPr>
        <w:t>vat matkat</w:t>
      </w:r>
      <w:r w:rsidR="007F3B4B" w:rsidRPr="004B2F7F">
        <w:rPr>
          <w:rFonts w:eastAsiaTheme="minorEastAsia"/>
        </w:rPr>
        <w:t>.</w:t>
      </w:r>
      <w:r w:rsidR="00267A71" w:rsidRPr="004B2F7F">
        <w:rPr>
          <w:rFonts w:eastAsiaTheme="minorEastAsia"/>
        </w:rPr>
        <w:t xml:space="preserve"> Jakajan arvo on muodostettu ruutualuejaosta</w:t>
      </w:r>
      <w:r w:rsidR="00CE06D9" w:rsidRPr="004B2F7F">
        <w:rPr>
          <w:rFonts w:eastAsiaTheme="minorEastAsia"/>
        </w:rPr>
        <w:t>,</w:t>
      </w:r>
      <w:r w:rsidR="00BE5208" w:rsidRPr="004B2F7F">
        <w:rPr>
          <w:rFonts w:eastAsiaTheme="minorEastAsia"/>
        </w:rPr>
        <w:t xml:space="preserve"> ad hoc</w:t>
      </w:r>
      <w:r w:rsidR="00267A71" w:rsidRPr="004B2F7F">
        <w:rPr>
          <w:rFonts w:eastAsiaTheme="minorEastAsia"/>
        </w:rPr>
        <w:t xml:space="preserve">, jossa alueen sisällä tehtävät matkat voivat olla enintään lävistäjän pituisia. Tällöin yhden sivun pituinen matka on lävistäjä jaettuna arvolla </w:t>
      </w:r>
      <m:oMath>
        <m:rad>
          <m:radPr>
            <m:degHide m:val="1"/>
            <m:ctrlPr>
              <w:rPr>
                <w:rFonts w:ascii="Cambria Math" w:hAnsi="Cambria Math"/>
                <w:i/>
              </w:rPr>
            </m:ctrlPr>
          </m:radPr>
          <m:deg/>
          <m:e>
            <m:r>
              <w:rPr>
                <w:rFonts w:ascii="Cambria Math" w:hAnsi="Cambria Math"/>
              </w:rPr>
              <m:t>2</m:t>
            </m:r>
          </m:e>
        </m:rad>
      </m:oMath>
      <w:r w:rsidR="00267A71" w:rsidRPr="004B2F7F">
        <w:rPr>
          <w:rFonts w:eastAsiaTheme="minorEastAsia"/>
        </w:rPr>
        <w:t xml:space="preserve">. Myös pienempää sisäistä sädettä </w:t>
      </w:r>
      <w:r w:rsidR="00CE06D9" w:rsidRPr="004B2F7F">
        <w:rPr>
          <w:rFonts w:eastAsiaTheme="minorEastAsia"/>
        </w:rPr>
        <w:t xml:space="preserve">(jakaja </w:t>
      </w:r>
      <m:oMath>
        <m:r>
          <w:rPr>
            <w:rFonts w:ascii="Cambria Math" w:eastAsiaTheme="minorEastAsia" w:hAnsi="Cambria Math"/>
          </w:rPr>
          <m:t>2</m:t>
        </m:r>
        <m:rad>
          <m:radPr>
            <m:degHide m:val="1"/>
            <m:ctrlPr>
              <w:rPr>
                <w:rFonts w:ascii="Cambria Math" w:eastAsiaTheme="minorEastAsia" w:hAnsi="Cambria Math"/>
                <w:i/>
              </w:rPr>
            </m:ctrlPr>
          </m:radPr>
          <m:deg/>
          <m:e>
            <m:r>
              <w:rPr>
                <w:rFonts w:ascii="Cambria Math" w:eastAsiaTheme="minorEastAsia" w:hAnsi="Cambria Math"/>
              </w:rPr>
              <m:t>2</m:t>
            </m:r>
          </m:e>
        </m:rad>
      </m:oMath>
      <w:r w:rsidR="00CE06D9" w:rsidRPr="004B2F7F">
        <w:rPr>
          <w:rFonts w:eastAsiaTheme="minorEastAsia"/>
        </w:rPr>
        <w:t>)</w:t>
      </w:r>
      <w:r w:rsidR="003B69AC" w:rsidRPr="004B2F7F">
        <w:rPr>
          <w:rFonts w:eastAsiaTheme="minorEastAsia"/>
        </w:rPr>
        <w:t xml:space="preserve"> </w:t>
      </w:r>
      <w:r w:rsidR="00DF0C8D" w:rsidRPr="004B2F7F">
        <w:rPr>
          <w:rFonts w:eastAsiaTheme="minorEastAsia"/>
        </w:rPr>
        <w:t>kokeiltiin</w:t>
      </w:r>
      <w:r w:rsidR="00267A71" w:rsidRPr="004B2F7F">
        <w:rPr>
          <w:rFonts w:eastAsiaTheme="minorEastAsia"/>
        </w:rPr>
        <w:t>, mutta se ei toiminut yhtä hyvin.</w:t>
      </w:r>
    </w:p>
    <w:p w14:paraId="75A5BD5B" w14:textId="64BC32A0" w:rsidR="009E2DF8" w:rsidRDefault="009E2DF8" w:rsidP="00C1420D">
      <w:pPr>
        <w:pStyle w:val="BodyText"/>
      </w:pPr>
      <w:r w:rsidRPr="005D7BF5">
        <w:t>Tehokkaan tiheyden laskennassa kannattaa</w:t>
      </w:r>
      <w:r w:rsidR="00B91F01" w:rsidRPr="005D7BF5">
        <w:t xml:space="preserve"> käyttää liikennemallijärjestelmän verkkokuvauksen </w:t>
      </w:r>
      <w:r w:rsidR="001E2223" w:rsidRPr="005D7BF5">
        <w:t>tarkkuuden,</w:t>
      </w:r>
      <w:r w:rsidR="00B91F01" w:rsidRPr="005D7BF5">
        <w:t xml:space="preserve"> tarkastelualueen </w:t>
      </w:r>
      <w:r w:rsidR="001E2223" w:rsidRPr="005D7BF5">
        <w:t xml:space="preserve">laajuuden ja taloudellisen tuottavuusaineiston saatavuuden </w:t>
      </w:r>
      <w:r w:rsidR="00B91F01" w:rsidRPr="005D7BF5">
        <w:t>mukaan mahdollisimman tiheätä aluejakoa.</w:t>
      </w:r>
      <w:r w:rsidR="001E2223" w:rsidRPr="005D7BF5">
        <w:t xml:space="preserve"> </w:t>
      </w:r>
      <w:r w:rsidR="00B91F01" w:rsidRPr="005D7BF5">
        <w:t>Jos esimerkiksi lasketaan tehokasta tiheyttä koko HELMET 4 -mallin alueella</w:t>
      </w:r>
      <w:r w:rsidR="00654FE2" w:rsidRPr="005D7BF5">
        <w:t>,</w:t>
      </w:r>
      <w:r w:rsidR="00B91F01" w:rsidRPr="005D7BF5">
        <w:t xml:space="preserve"> on HELMET 4.0 mallialuejako siihen sopiva. Pääkaupunkiseudun 4 kunnan alueen tarkasteluissa voidaan käyttää tarkempaa </w:t>
      </w:r>
      <w:r w:rsidR="001E2223" w:rsidRPr="005D7BF5">
        <w:t xml:space="preserve">250 metrin tai </w:t>
      </w:r>
      <w:r w:rsidR="00B91F01" w:rsidRPr="005D7BF5">
        <w:t>500 metrin ruutuihin perustuvaa aluejakoa.</w:t>
      </w:r>
      <w:r w:rsidR="00B91F01">
        <w:t xml:space="preserve"> </w:t>
      </w:r>
    </w:p>
    <w:p w14:paraId="4D843184" w14:textId="0C188C7B" w:rsidR="00C1420D" w:rsidRDefault="00C1420D" w:rsidP="004B2F7F">
      <w:pPr>
        <w:pStyle w:val="BodyText"/>
      </w:pPr>
      <w:r>
        <w:t>Tehokas tiheys voidaan aggregoida hienommasta aluejaosta karkeampaan laskemalla siitä lähtöalueen työpaikkamäärällä painotettu keskiarvo.</w:t>
      </w:r>
      <w:r w:rsidR="00DF0C8D">
        <w:t xml:space="preserve"> </w:t>
      </w:r>
      <w:r w:rsidR="00DF0C8D" w:rsidRPr="004B2F7F">
        <w:t>Työpaikkamäärillä painotus on luonnollinen tapa aggregoida tehokkaan tiheyden arvoja alueellisesti, koska tavoitteena on käyttää tehokkaan tiheyden arvoja taloudellisen tuottavuuden arvioinnin lähtötietona</w:t>
      </w:r>
      <w:r w:rsidR="003856A2" w:rsidRPr="004B2F7F">
        <w:t>.</w:t>
      </w:r>
      <w:r w:rsidR="00DF0C8D" w:rsidRPr="004B2F7F">
        <w:t xml:space="preserve"> </w:t>
      </w:r>
      <w:r w:rsidR="003856A2" w:rsidRPr="004B2F7F">
        <w:t>A</w:t>
      </w:r>
      <w:r w:rsidR="00DF0C8D" w:rsidRPr="004B2F7F">
        <w:t>lueet</w:t>
      </w:r>
      <w:r w:rsidR="003856A2" w:rsidRPr="004B2F7F">
        <w:t>,</w:t>
      </w:r>
      <w:r w:rsidR="00DF0C8D" w:rsidRPr="004B2F7F">
        <w:t xml:space="preserve"> joilla on paljon työpaikkoja</w:t>
      </w:r>
      <w:r w:rsidR="003856A2" w:rsidRPr="004B2F7F">
        <w:t>,</w:t>
      </w:r>
      <w:r w:rsidR="00DF0C8D" w:rsidRPr="004B2F7F">
        <w:t xml:space="preserve"> ovat </w:t>
      </w:r>
      <w:r w:rsidR="003856A2" w:rsidRPr="004B2F7F">
        <w:t>taloudellisen tuottavuuden kannalta</w:t>
      </w:r>
      <w:r w:rsidR="00DF0C8D" w:rsidRPr="004B2F7F">
        <w:t xml:space="preserve"> merkitykselli</w:t>
      </w:r>
      <w:r w:rsidR="003856A2" w:rsidRPr="004B2F7F">
        <w:t>sem</w:t>
      </w:r>
      <w:r w:rsidR="00DF0C8D" w:rsidRPr="004B2F7F">
        <w:t>piä kuin alueet</w:t>
      </w:r>
      <w:r w:rsidR="003856A2" w:rsidRPr="004B2F7F">
        <w:t>,</w:t>
      </w:r>
      <w:r w:rsidR="00DF0C8D" w:rsidRPr="004B2F7F">
        <w:t xml:space="preserve"> joilla työpaikkojen määrä on vähäinen.</w:t>
      </w:r>
      <w:r w:rsidR="00660B63" w:rsidRPr="004B2F7F">
        <w:rPr>
          <w:color w:val="FF0000"/>
        </w:rPr>
        <w:t xml:space="preserve"> </w:t>
      </w:r>
      <w:r w:rsidRPr="004B2F7F">
        <w:t xml:space="preserve">Taulukossa </w:t>
      </w:r>
      <w:r w:rsidR="005029AD" w:rsidRPr="004B2F7F">
        <w:t>3</w:t>
      </w:r>
      <w:r w:rsidRPr="004B2F7F">
        <w:t xml:space="preserve"> on Helmet-malli</w:t>
      </w:r>
      <w:r w:rsidR="00D924ED">
        <w:t xml:space="preserve">alueen </w:t>
      </w:r>
      <w:r w:rsidRPr="004B2F7F">
        <w:t>kuntien tehokkaan tiheyden arvot eri skenaarioissa painotetun keskiarvon avulla laskettuna.</w:t>
      </w:r>
      <w:r w:rsidR="006A33F5" w:rsidRPr="004B2F7F">
        <w:t xml:space="preserve"> Taulukosta on jätetty pois HELMET-mallialueen reunakunnat. Reunakunnissa mallialueen ulkopuolelle suuntautuvat matkat ovat tehokkaan tiheyden kannalta merkityksellisiä, eikä laskentamenetelmä huomio</w:t>
      </w:r>
      <w:r w:rsidR="00B73004" w:rsidRPr="004B2F7F">
        <w:t>i</w:t>
      </w:r>
      <w:r w:rsidR="006A33F5" w:rsidRPr="004B2F7F">
        <w:t xml:space="preserve"> niitä.</w:t>
      </w:r>
      <w:r w:rsidR="006A33F5">
        <w:t xml:space="preserve"> </w:t>
      </w:r>
    </w:p>
    <w:p w14:paraId="075A166D" w14:textId="77777777" w:rsidR="009932F4" w:rsidRDefault="009932F4">
      <w:pPr>
        <w:rPr>
          <w:i/>
          <w:iCs/>
          <w:sz w:val="18"/>
          <w:szCs w:val="18"/>
        </w:rPr>
      </w:pPr>
      <w:r>
        <w:br w:type="page"/>
      </w:r>
    </w:p>
    <w:p w14:paraId="40765E20" w14:textId="06F530B4" w:rsidR="008C04C8" w:rsidRDefault="008C04C8" w:rsidP="008C04C8">
      <w:pPr>
        <w:pStyle w:val="Caption"/>
      </w:pPr>
      <w:r>
        <w:lastRenderedPageBreak/>
        <w:t xml:space="preserve">Kuva </w:t>
      </w:r>
      <w:r w:rsidR="0040610B">
        <w:fldChar w:fldCharType="begin"/>
      </w:r>
      <w:r w:rsidR="0040610B">
        <w:instrText xml:space="preserve"> SEQ Kuva \* ARABIC </w:instrText>
      </w:r>
      <w:r w:rsidR="0040610B">
        <w:fldChar w:fldCharType="separate"/>
      </w:r>
      <w:r>
        <w:rPr>
          <w:noProof/>
        </w:rPr>
        <w:t>11</w:t>
      </w:r>
      <w:r w:rsidR="0040610B">
        <w:rPr>
          <w:noProof/>
        </w:rPr>
        <w:fldChar w:fldCharType="end"/>
      </w:r>
      <w:r>
        <w:t>. Tehokas tiheys 2020 Helsingissä 500m x 500m ruutualuejaossa (mallin 6 mukaan laskettuna)</w:t>
      </w:r>
    </w:p>
    <w:p w14:paraId="2D3EACB4" w14:textId="37813290" w:rsidR="009E0536" w:rsidRDefault="00500A39" w:rsidP="00D30AA2">
      <w:pPr>
        <w:pStyle w:val="BodyText"/>
      </w:pPr>
      <w:r>
        <w:rPr>
          <w:noProof/>
          <w:lang w:eastAsia="fi-FI"/>
        </w:rPr>
        <w:drawing>
          <wp:inline distT="0" distB="0" distL="0" distR="0" wp14:anchorId="48544EEA" wp14:editId="4AD8E8B1">
            <wp:extent cx="5340591" cy="3776869"/>
            <wp:effectExtent l="0" t="0" r="0" b="0"/>
            <wp:docPr id="22" name="Kuva 22" descr="Kuvassa esitetään tehokkaan tiheyden lukuarvo Helsingin kaupungin alueen ruuduissa. Ruutujen värisävy kertoo tehokkaan tiheyden suuruudesta 7-portaisella asteiko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uva 22" descr="Kuvassa esitetään tehokkaan tiheyden lukuarvo Helsingin kaupungin alueen ruuduissa. Ruutujen värisävy kertoo tehokkaan tiheyden suuruudesta 7-portaisella asteikolla."/>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48919" cy="3782759"/>
                    </a:xfrm>
                    <a:prstGeom prst="rect">
                      <a:avLst/>
                    </a:prstGeom>
                  </pic:spPr>
                </pic:pic>
              </a:graphicData>
            </a:graphic>
          </wp:inline>
        </w:drawing>
      </w:r>
    </w:p>
    <w:p w14:paraId="3265CA6A" w14:textId="77777777" w:rsidR="00D20FCC" w:rsidRPr="001E2223" w:rsidRDefault="00D20FCC" w:rsidP="001E2223"/>
    <w:p w14:paraId="386DB15F" w14:textId="77777777" w:rsidR="004B2F7F" w:rsidRDefault="004B2F7F">
      <w:pPr>
        <w:rPr>
          <w:i/>
          <w:iCs/>
          <w:sz w:val="18"/>
          <w:szCs w:val="18"/>
        </w:rPr>
      </w:pPr>
      <w:r>
        <w:br w:type="page"/>
      </w:r>
    </w:p>
    <w:p w14:paraId="3A2682A2" w14:textId="5AE7579B" w:rsidR="00C1420D" w:rsidRDefault="00C1420D" w:rsidP="00C1420D">
      <w:pPr>
        <w:pStyle w:val="Caption"/>
      </w:pPr>
      <w:r w:rsidRPr="00A552AC">
        <w:lastRenderedPageBreak/>
        <w:t xml:space="preserve">Taulukko </w:t>
      </w:r>
      <w:r w:rsidR="0040610B">
        <w:fldChar w:fldCharType="begin"/>
      </w:r>
      <w:r w:rsidR="0040610B">
        <w:instrText xml:space="preserve"> SEQ Taulukko \* ARABIC </w:instrText>
      </w:r>
      <w:r w:rsidR="0040610B">
        <w:fldChar w:fldCharType="separate"/>
      </w:r>
      <w:r w:rsidR="00FA65C8" w:rsidRPr="00A552AC">
        <w:rPr>
          <w:noProof/>
        </w:rPr>
        <w:t>3</w:t>
      </w:r>
      <w:r w:rsidR="0040610B">
        <w:rPr>
          <w:noProof/>
        </w:rPr>
        <w:fldChar w:fldCharType="end"/>
      </w:r>
      <w:r w:rsidRPr="00A552AC">
        <w:t>. Tehokas tiheys kunnittain eri skenaarioissa.</w:t>
      </w:r>
    </w:p>
    <w:tbl>
      <w:tblPr>
        <w:tblStyle w:val="TableGrid"/>
        <w:tblW w:w="0" w:type="auto"/>
        <w:tblInd w:w="1304" w:type="dxa"/>
        <w:tblLook w:val="04A0" w:firstRow="1" w:lastRow="0" w:firstColumn="1" w:lastColumn="0" w:noHBand="0" w:noVBand="1"/>
      </w:tblPr>
      <w:tblGrid>
        <w:gridCol w:w="1766"/>
        <w:gridCol w:w="1036"/>
        <w:gridCol w:w="1075"/>
        <w:gridCol w:w="1203"/>
        <w:gridCol w:w="1214"/>
        <w:gridCol w:w="1203"/>
      </w:tblGrid>
      <w:tr w:rsidR="00C1420D" w14:paraId="226833D7" w14:textId="77777777" w:rsidTr="002861FC">
        <w:tc>
          <w:tcPr>
            <w:tcW w:w="1766" w:type="dxa"/>
            <w:vAlign w:val="bottom"/>
          </w:tcPr>
          <w:p w14:paraId="726E5AD6" w14:textId="77777777" w:rsidR="00C1420D" w:rsidRPr="00F019C7" w:rsidRDefault="00C1420D" w:rsidP="002861FC">
            <w:pPr>
              <w:pStyle w:val="BodyText"/>
              <w:spacing w:after="0"/>
              <w:ind w:left="0"/>
              <w:rPr>
                <w:b/>
                <w:bCs/>
              </w:rPr>
            </w:pPr>
          </w:p>
        </w:tc>
        <w:tc>
          <w:tcPr>
            <w:tcW w:w="1036" w:type="dxa"/>
            <w:vAlign w:val="bottom"/>
          </w:tcPr>
          <w:p w14:paraId="0E9FC9B8" w14:textId="77777777" w:rsidR="00C1420D" w:rsidRPr="00F019C7" w:rsidRDefault="00C1420D" w:rsidP="002861FC">
            <w:pPr>
              <w:pStyle w:val="BodyText"/>
              <w:spacing w:after="0"/>
              <w:ind w:left="0"/>
              <w:jc w:val="center"/>
              <w:rPr>
                <w:b/>
                <w:bCs/>
              </w:rPr>
            </w:pPr>
            <w:r w:rsidRPr="00F019C7">
              <w:rPr>
                <w:rFonts w:ascii="Calibri" w:hAnsi="Calibri" w:cs="Calibri"/>
                <w:b/>
                <w:bCs/>
                <w:color w:val="000000"/>
                <w:sz w:val="22"/>
              </w:rPr>
              <w:t>2016</w:t>
            </w:r>
          </w:p>
        </w:tc>
        <w:tc>
          <w:tcPr>
            <w:tcW w:w="1075" w:type="dxa"/>
            <w:vAlign w:val="bottom"/>
          </w:tcPr>
          <w:p w14:paraId="230A42A1" w14:textId="77777777" w:rsidR="00C1420D" w:rsidRPr="00F019C7" w:rsidRDefault="00C1420D" w:rsidP="002861FC">
            <w:pPr>
              <w:pStyle w:val="BodyText"/>
              <w:spacing w:after="0"/>
              <w:ind w:left="0"/>
              <w:jc w:val="center"/>
              <w:rPr>
                <w:b/>
                <w:bCs/>
              </w:rPr>
            </w:pPr>
            <w:r w:rsidRPr="00F019C7">
              <w:rPr>
                <w:rFonts w:ascii="Calibri" w:hAnsi="Calibri" w:cs="Calibri"/>
                <w:b/>
                <w:bCs/>
                <w:color w:val="000000"/>
                <w:sz w:val="22"/>
              </w:rPr>
              <w:t>2020</w:t>
            </w:r>
          </w:p>
        </w:tc>
        <w:tc>
          <w:tcPr>
            <w:tcW w:w="1203" w:type="dxa"/>
          </w:tcPr>
          <w:p w14:paraId="5BAAE976" w14:textId="77777777" w:rsidR="00C1420D" w:rsidRPr="00F019C7" w:rsidRDefault="00C1420D" w:rsidP="002861FC">
            <w:pPr>
              <w:pStyle w:val="BodyText"/>
              <w:spacing w:after="0"/>
              <w:ind w:left="0"/>
              <w:jc w:val="center"/>
              <w:rPr>
                <w:rFonts w:ascii="Calibri" w:hAnsi="Calibri" w:cs="Calibri"/>
                <w:b/>
                <w:bCs/>
                <w:color w:val="000000"/>
                <w:sz w:val="22"/>
              </w:rPr>
            </w:pPr>
            <w:r>
              <w:rPr>
                <w:rFonts w:ascii="Calibri" w:hAnsi="Calibri" w:cs="Calibri"/>
                <w:b/>
                <w:bCs/>
                <w:color w:val="000000"/>
                <w:sz w:val="22"/>
              </w:rPr>
              <w:t>Muutos 2020/2016</w:t>
            </w:r>
          </w:p>
        </w:tc>
        <w:tc>
          <w:tcPr>
            <w:tcW w:w="1214" w:type="dxa"/>
            <w:vAlign w:val="bottom"/>
          </w:tcPr>
          <w:p w14:paraId="46CB3EF1" w14:textId="77777777" w:rsidR="00C1420D" w:rsidRPr="00F019C7" w:rsidRDefault="00C1420D" w:rsidP="002861FC">
            <w:pPr>
              <w:pStyle w:val="BodyText"/>
              <w:spacing w:after="0"/>
              <w:ind w:left="0"/>
              <w:jc w:val="center"/>
              <w:rPr>
                <w:b/>
                <w:bCs/>
              </w:rPr>
            </w:pPr>
            <w:r w:rsidRPr="00F019C7">
              <w:rPr>
                <w:rFonts w:ascii="Calibri" w:hAnsi="Calibri" w:cs="Calibri"/>
                <w:b/>
                <w:bCs/>
                <w:color w:val="000000"/>
                <w:sz w:val="22"/>
              </w:rPr>
              <w:t>2030 MAL</w:t>
            </w:r>
          </w:p>
        </w:tc>
        <w:tc>
          <w:tcPr>
            <w:tcW w:w="1203" w:type="dxa"/>
          </w:tcPr>
          <w:p w14:paraId="7E3A6CAD" w14:textId="77777777" w:rsidR="00C1420D" w:rsidRPr="00F019C7" w:rsidRDefault="00C1420D" w:rsidP="002861FC">
            <w:pPr>
              <w:pStyle w:val="BodyText"/>
              <w:spacing w:after="0"/>
              <w:ind w:left="0"/>
              <w:jc w:val="center"/>
              <w:rPr>
                <w:rFonts w:ascii="Calibri" w:hAnsi="Calibri" w:cs="Calibri"/>
                <w:b/>
                <w:bCs/>
                <w:color w:val="000000"/>
                <w:sz w:val="22"/>
              </w:rPr>
            </w:pPr>
            <w:r>
              <w:rPr>
                <w:rFonts w:ascii="Calibri" w:hAnsi="Calibri" w:cs="Calibri"/>
                <w:b/>
                <w:bCs/>
                <w:color w:val="000000"/>
                <w:sz w:val="22"/>
              </w:rPr>
              <w:t>Muutos 2030/2020</w:t>
            </w:r>
          </w:p>
        </w:tc>
      </w:tr>
      <w:tr w:rsidR="005F686C" w14:paraId="208C938E" w14:textId="77777777" w:rsidTr="00CE06D9">
        <w:tc>
          <w:tcPr>
            <w:tcW w:w="1766" w:type="dxa"/>
            <w:vAlign w:val="bottom"/>
          </w:tcPr>
          <w:p w14:paraId="129996D9" w14:textId="4305D440" w:rsidR="005F686C" w:rsidRPr="00F019C7" w:rsidRDefault="005F686C" w:rsidP="005F686C">
            <w:pPr>
              <w:pStyle w:val="BodyText"/>
              <w:spacing w:after="0"/>
              <w:ind w:left="0"/>
              <w:rPr>
                <w:b/>
                <w:bCs/>
              </w:rPr>
            </w:pPr>
            <w:r>
              <w:rPr>
                <w:rFonts w:ascii="Calibri" w:hAnsi="Calibri" w:cs="Calibri"/>
                <w:color w:val="000000"/>
                <w:sz w:val="22"/>
              </w:rPr>
              <w:t>Helsinki</w:t>
            </w:r>
          </w:p>
        </w:tc>
        <w:tc>
          <w:tcPr>
            <w:tcW w:w="1036" w:type="dxa"/>
            <w:vAlign w:val="bottom"/>
          </w:tcPr>
          <w:p w14:paraId="293CD135" w14:textId="02417B15" w:rsidR="005F686C" w:rsidRDefault="005F686C" w:rsidP="005F686C">
            <w:pPr>
              <w:pStyle w:val="BodyText"/>
              <w:spacing w:after="0"/>
              <w:ind w:left="0"/>
              <w:jc w:val="center"/>
            </w:pPr>
            <w:r>
              <w:rPr>
                <w:rFonts w:ascii="Calibri" w:hAnsi="Calibri" w:cs="Calibri"/>
                <w:color w:val="000000"/>
                <w:sz w:val="22"/>
              </w:rPr>
              <w:t>412</w:t>
            </w:r>
          </w:p>
        </w:tc>
        <w:tc>
          <w:tcPr>
            <w:tcW w:w="1075" w:type="dxa"/>
            <w:vAlign w:val="bottom"/>
          </w:tcPr>
          <w:p w14:paraId="1D32B7F2" w14:textId="2DE7D279" w:rsidR="005F686C" w:rsidRDefault="005F686C" w:rsidP="005F686C">
            <w:pPr>
              <w:pStyle w:val="BodyText"/>
              <w:spacing w:after="0"/>
              <w:ind w:left="0"/>
              <w:jc w:val="center"/>
            </w:pPr>
            <w:r>
              <w:rPr>
                <w:rFonts w:ascii="Calibri" w:hAnsi="Calibri" w:cs="Calibri"/>
                <w:color w:val="000000"/>
                <w:sz w:val="22"/>
              </w:rPr>
              <w:t>411</w:t>
            </w:r>
          </w:p>
        </w:tc>
        <w:tc>
          <w:tcPr>
            <w:tcW w:w="1203" w:type="dxa"/>
            <w:vAlign w:val="bottom"/>
          </w:tcPr>
          <w:p w14:paraId="3DC782A6" w14:textId="6C91823B"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29EBFBF0" w14:textId="48F5F7E9" w:rsidR="005F686C" w:rsidRDefault="005F686C" w:rsidP="005F686C">
            <w:pPr>
              <w:pStyle w:val="BodyText"/>
              <w:spacing w:after="0"/>
              <w:ind w:left="0"/>
              <w:jc w:val="center"/>
            </w:pPr>
            <w:r>
              <w:rPr>
                <w:rFonts w:ascii="Calibri" w:hAnsi="Calibri" w:cs="Calibri"/>
                <w:color w:val="000000"/>
                <w:sz w:val="22"/>
              </w:rPr>
              <w:t>417</w:t>
            </w:r>
          </w:p>
        </w:tc>
        <w:tc>
          <w:tcPr>
            <w:tcW w:w="1203" w:type="dxa"/>
            <w:vAlign w:val="bottom"/>
          </w:tcPr>
          <w:p w14:paraId="5D2CF3A9" w14:textId="3CC38171"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1 %</w:t>
            </w:r>
          </w:p>
        </w:tc>
      </w:tr>
      <w:tr w:rsidR="005F686C" w14:paraId="26EC9430" w14:textId="77777777" w:rsidTr="00CE06D9">
        <w:tc>
          <w:tcPr>
            <w:tcW w:w="1766" w:type="dxa"/>
            <w:vAlign w:val="bottom"/>
          </w:tcPr>
          <w:p w14:paraId="4C057D69" w14:textId="6009458B" w:rsidR="005F686C" w:rsidRPr="00F019C7" w:rsidRDefault="005F686C" w:rsidP="005F686C">
            <w:pPr>
              <w:pStyle w:val="BodyText"/>
              <w:spacing w:after="0"/>
              <w:ind w:left="0"/>
              <w:rPr>
                <w:b/>
                <w:bCs/>
              </w:rPr>
            </w:pPr>
            <w:r>
              <w:rPr>
                <w:rFonts w:ascii="Calibri" w:hAnsi="Calibri" w:cs="Calibri"/>
                <w:color w:val="000000"/>
                <w:sz w:val="22"/>
              </w:rPr>
              <w:t>Espoo</w:t>
            </w:r>
          </w:p>
        </w:tc>
        <w:tc>
          <w:tcPr>
            <w:tcW w:w="1036" w:type="dxa"/>
            <w:vAlign w:val="bottom"/>
          </w:tcPr>
          <w:p w14:paraId="09A90249" w14:textId="54636392" w:rsidR="005F686C" w:rsidRDefault="005F686C" w:rsidP="005F686C">
            <w:pPr>
              <w:pStyle w:val="BodyText"/>
              <w:spacing w:after="0"/>
              <w:ind w:left="0"/>
              <w:jc w:val="center"/>
            </w:pPr>
            <w:r>
              <w:rPr>
                <w:rFonts w:ascii="Calibri" w:hAnsi="Calibri" w:cs="Calibri"/>
                <w:color w:val="000000"/>
                <w:sz w:val="22"/>
              </w:rPr>
              <w:t>232</w:t>
            </w:r>
          </w:p>
        </w:tc>
        <w:tc>
          <w:tcPr>
            <w:tcW w:w="1075" w:type="dxa"/>
            <w:vAlign w:val="bottom"/>
          </w:tcPr>
          <w:p w14:paraId="33C95588" w14:textId="1F9B9E7D" w:rsidR="005F686C" w:rsidRDefault="005F686C" w:rsidP="005F686C">
            <w:pPr>
              <w:pStyle w:val="BodyText"/>
              <w:spacing w:after="0"/>
              <w:ind w:left="0"/>
              <w:jc w:val="center"/>
            </w:pPr>
            <w:r>
              <w:rPr>
                <w:rFonts w:ascii="Calibri" w:hAnsi="Calibri" w:cs="Calibri"/>
                <w:color w:val="000000"/>
                <w:sz w:val="22"/>
              </w:rPr>
              <w:t>234</w:t>
            </w:r>
          </w:p>
        </w:tc>
        <w:tc>
          <w:tcPr>
            <w:tcW w:w="1203" w:type="dxa"/>
            <w:vAlign w:val="bottom"/>
          </w:tcPr>
          <w:p w14:paraId="4DE2FFEC" w14:textId="376C7282"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1 %</w:t>
            </w:r>
          </w:p>
        </w:tc>
        <w:tc>
          <w:tcPr>
            <w:tcW w:w="1214" w:type="dxa"/>
            <w:vAlign w:val="bottom"/>
          </w:tcPr>
          <w:p w14:paraId="1880DF72" w14:textId="2C14A600" w:rsidR="005F686C" w:rsidRDefault="005F686C" w:rsidP="005F686C">
            <w:pPr>
              <w:pStyle w:val="BodyText"/>
              <w:spacing w:after="0"/>
              <w:ind w:left="0"/>
              <w:jc w:val="center"/>
            </w:pPr>
            <w:r>
              <w:rPr>
                <w:rFonts w:ascii="Calibri" w:hAnsi="Calibri" w:cs="Calibri"/>
                <w:color w:val="000000"/>
                <w:sz w:val="22"/>
              </w:rPr>
              <w:t>216</w:t>
            </w:r>
          </w:p>
        </w:tc>
        <w:tc>
          <w:tcPr>
            <w:tcW w:w="1203" w:type="dxa"/>
            <w:vAlign w:val="bottom"/>
          </w:tcPr>
          <w:p w14:paraId="2308E2AC" w14:textId="0A6DC4D1"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-8 %</w:t>
            </w:r>
          </w:p>
        </w:tc>
      </w:tr>
      <w:tr w:rsidR="005F686C" w14:paraId="2BBD1523" w14:textId="77777777" w:rsidTr="00CE06D9">
        <w:tc>
          <w:tcPr>
            <w:tcW w:w="1766" w:type="dxa"/>
            <w:vAlign w:val="bottom"/>
          </w:tcPr>
          <w:p w14:paraId="5CFDB5A6" w14:textId="32C93C3D" w:rsidR="005F686C" w:rsidRPr="00F019C7" w:rsidRDefault="005F686C" w:rsidP="005F686C">
            <w:pPr>
              <w:pStyle w:val="BodyText"/>
              <w:spacing w:after="0"/>
              <w:ind w:left="0"/>
              <w:rPr>
                <w:b/>
                <w:bCs/>
              </w:rPr>
            </w:pPr>
            <w:r>
              <w:rPr>
                <w:rFonts w:ascii="Calibri" w:hAnsi="Calibri" w:cs="Calibri"/>
                <w:color w:val="000000"/>
                <w:sz w:val="22"/>
              </w:rPr>
              <w:t>Vantaa</w:t>
            </w:r>
          </w:p>
        </w:tc>
        <w:tc>
          <w:tcPr>
            <w:tcW w:w="1036" w:type="dxa"/>
            <w:vAlign w:val="bottom"/>
          </w:tcPr>
          <w:p w14:paraId="0C2E94B3" w14:textId="62B937FF" w:rsidR="005F686C" w:rsidRDefault="005F686C" w:rsidP="005F686C">
            <w:pPr>
              <w:pStyle w:val="BodyText"/>
              <w:spacing w:after="0"/>
              <w:ind w:left="0"/>
              <w:jc w:val="center"/>
            </w:pPr>
            <w:r>
              <w:rPr>
                <w:rFonts w:ascii="Calibri" w:hAnsi="Calibri" w:cs="Calibri"/>
                <w:color w:val="000000"/>
                <w:sz w:val="22"/>
              </w:rPr>
              <w:t>231</w:t>
            </w:r>
          </w:p>
        </w:tc>
        <w:tc>
          <w:tcPr>
            <w:tcW w:w="1075" w:type="dxa"/>
            <w:vAlign w:val="bottom"/>
          </w:tcPr>
          <w:p w14:paraId="720B4003" w14:textId="5C522AA3" w:rsidR="005F686C" w:rsidRDefault="005F686C" w:rsidP="005F686C">
            <w:pPr>
              <w:pStyle w:val="BodyText"/>
              <w:spacing w:after="0"/>
              <w:ind w:left="0"/>
              <w:jc w:val="center"/>
            </w:pPr>
            <w:r>
              <w:rPr>
                <w:rFonts w:ascii="Calibri" w:hAnsi="Calibri" w:cs="Calibri"/>
                <w:color w:val="000000"/>
                <w:sz w:val="22"/>
              </w:rPr>
              <w:t>227</w:t>
            </w:r>
          </w:p>
        </w:tc>
        <w:tc>
          <w:tcPr>
            <w:tcW w:w="1203" w:type="dxa"/>
            <w:vAlign w:val="bottom"/>
          </w:tcPr>
          <w:p w14:paraId="34A39AA4" w14:textId="7C0A6B5B"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-2 %</w:t>
            </w:r>
          </w:p>
        </w:tc>
        <w:tc>
          <w:tcPr>
            <w:tcW w:w="1214" w:type="dxa"/>
            <w:vAlign w:val="bottom"/>
          </w:tcPr>
          <w:p w14:paraId="0370609F" w14:textId="7A8121A7" w:rsidR="005F686C" w:rsidRDefault="005F686C" w:rsidP="005F686C">
            <w:pPr>
              <w:pStyle w:val="BodyText"/>
              <w:spacing w:after="0"/>
              <w:ind w:left="0"/>
              <w:jc w:val="center"/>
            </w:pPr>
            <w:r>
              <w:rPr>
                <w:rFonts w:ascii="Calibri" w:hAnsi="Calibri" w:cs="Calibri"/>
                <w:color w:val="000000"/>
                <w:sz w:val="22"/>
              </w:rPr>
              <w:t>200</w:t>
            </w:r>
          </w:p>
        </w:tc>
        <w:tc>
          <w:tcPr>
            <w:tcW w:w="1203" w:type="dxa"/>
            <w:vAlign w:val="bottom"/>
          </w:tcPr>
          <w:p w14:paraId="09375B7A" w14:textId="40B952B9"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-12 %</w:t>
            </w:r>
          </w:p>
        </w:tc>
      </w:tr>
      <w:tr w:rsidR="005F686C" w14:paraId="4C1F708E" w14:textId="77777777" w:rsidTr="00CE06D9">
        <w:tc>
          <w:tcPr>
            <w:tcW w:w="1766" w:type="dxa"/>
            <w:vAlign w:val="bottom"/>
          </w:tcPr>
          <w:p w14:paraId="1D393D81" w14:textId="6B0A33AB" w:rsidR="005F686C" w:rsidRPr="00F019C7" w:rsidRDefault="005F686C" w:rsidP="005F686C">
            <w:pPr>
              <w:pStyle w:val="BodyText"/>
              <w:spacing w:after="0"/>
              <w:ind w:left="0"/>
              <w:rPr>
                <w:rFonts w:ascii="Calibri" w:hAnsi="Calibri" w:cs="Calibri"/>
                <w:b/>
                <w:bCs/>
                <w:color w:val="000000"/>
                <w:sz w:val="22"/>
              </w:rPr>
            </w:pPr>
            <w:r>
              <w:rPr>
                <w:rFonts w:ascii="Calibri" w:hAnsi="Calibri" w:cs="Calibri"/>
                <w:color w:val="000000"/>
                <w:sz w:val="22"/>
              </w:rPr>
              <w:t>Kauniainen</w:t>
            </w:r>
          </w:p>
        </w:tc>
        <w:tc>
          <w:tcPr>
            <w:tcW w:w="1036" w:type="dxa"/>
            <w:vAlign w:val="bottom"/>
          </w:tcPr>
          <w:p w14:paraId="37F92E0B" w14:textId="54117FD7"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181</w:t>
            </w:r>
          </w:p>
        </w:tc>
        <w:tc>
          <w:tcPr>
            <w:tcW w:w="1075" w:type="dxa"/>
            <w:vAlign w:val="bottom"/>
          </w:tcPr>
          <w:p w14:paraId="6D682DF7" w14:textId="5C926BAC"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175</w:t>
            </w:r>
          </w:p>
        </w:tc>
        <w:tc>
          <w:tcPr>
            <w:tcW w:w="1203" w:type="dxa"/>
            <w:vAlign w:val="bottom"/>
          </w:tcPr>
          <w:p w14:paraId="50B851FE" w14:textId="55BE8C4F"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-3 %</w:t>
            </w:r>
          </w:p>
        </w:tc>
        <w:tc>
          <w:tcPr>
            <w:tcW w:w="1214" w:type="dxa"/>
            <w:vAlign w:val="bottom"/>
          </w:tcPr>
          <w:p w14:paraId="4A2E6174" w14:textId="51727278"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161</w:t>
            </w:r>
          </w:p>
        </w:tc>
        <w:tc>
          <w:tcPr>
            <w:tcW w:w="1203" w:type="dxa"/>
            <w:vAlign w:val="bottom"/>
          </w:tcPr>
          <w:p w14:paraId="705D735B" w14:textId="076D3D14"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-8 %</w:t>
            </w:r>
          </w:p>
        </w:tc>
      </w:tr>
      <w:tr w:rsidR="005F686C" w14:paraId="5049BE56" w14:textId="77777777" w:rsidTr="00CE06D9">
        <w:tc>
          <w:tcPr>
            <w:tcW w:w="1766" w:type="dxa"/>
            <w:vAlign w:val="bottom"/>
          </w:tcPr>
          <w:p w14:paraId="6D2DD339" w14:textId="537EED6A" w:rsidR="005F686C" w:rsidRPr="00F019C7" w:rsidRDefault="005F686C" w:rsidP="005F686C">
            <w:pPr>
              <w:pStyle w:val="BodyText"/>
              <w:spacing w:after="0"/>
              <w:ind w:left="0"/>
              <w:rPr>
                <w:rFonts w:ascii="Calibri" w:hAnsi="Calibri" w:cs="Calibri"/>
                <w:b/>
                <w:bCs/>
                <w:color w:val="000000"/>
                <w:sz w:val="22"/>
              </w:rPr>
            </w:pPr>
            <w:r>
              <w:rPr>
                <w:rFonts w:ascii="Calibri" w:hAnsi="Calibri" w:cs="Calibri"/>
                <w:color w:val="000000"/>
                <w:sz w:val="22"/>
              </w:rPr>
              <w:t>Tuusula</w:t>
            </w:r>
          </w:p>
        </w:tc>
        <w:tc>
          <w:tcPr>
            <w:tcW w:w="1036" w:type="dxa"/>
            <w:vAlign w:val="bottom"/>
          </w:tcPr>
          <w:p w14:paraId="120D112B" w14:textId="117658B4"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137</w:t>
            </w:r>
          </w:p>
        </w:tc>
        <w:tc>
          <w:tcPr>
            <w:tcW w:w="1075" w:type="dxa"/>
            <w:vAlign w:val="bottom"/>
          </w:tcPr>
          <w:p w14:paraId="1A5861FC" w14:textId="1B5E4F2A"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136</w:t>
            </w:r>
          </w:p>
        </w:tc>
        <w:tc>
          <w:tcPr>
            <w:tcW w:w="1203" w:type="dxa"/>
            <w:vAlign w:val="bottom"/>
          </w:tcPr>
          <w:p w14:paraId="4BB3BF56" w14:textId="539AAE84"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-1 %</w:t>
            </w:r>
          </w:p>
        </w:tc>
        <w:tc>
          <w:tcPr>
            <w:tcW w:w="1214" w:type="dxa"/>
            <w:vAlign w:val="bottom"/>
          </w:tcPr>
          <w:p w14:paraId="49C02853" w14:textId="424D773D"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157</w:t>
            </w:r>
          </w:p>
        </w:tc>
        <w:tc>
          <w:tcPr>
            <w:tcW w:w="1203" w:type="dxa"/>
            <w:vAlign w:val="bottom"/>
          </w:tcPr>
          <w:p w14:paraId="6BD7C913" w14:textId="3E1DEA2A"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15 %</w:t>
            </w:r>
          </w:p>
        </w:tc>
      </w:tr>
      <w:tr w:rsidR="005F686C" w14:paraId="2D3D5CA7" w14:textId="77777777" w:rsidTr="00CE06D9">
        <w:tc>
          <w:tcPr>
            <w:tcW w:w="1766" w:type="dxa"/>
            <w:vAlign w:val="bottom"/>
          </w:tcPr>
          <w:p w14:paraId="3817BA64" w14:textId="52860CC4" w:rsidR="005F686C" w:rsidRPr="00F019C7" w:rsidRDefault="005F686C" w:rsidP="005F686C">
            <w:pPr>
              <w:pStyle w:val="BodyText"/>
              <w:spacing w:after="0"/>
              <w:ind w:left="0"/>
              <w:rPr>
                <w:rFonts w:ascii="Calibri" w:hAnsi="Calibri" w:cs="Calibri"/>
                <w:b/>
                <w:bCs/>
                <w:color w:val="000000"/>
                <w:sz w:val="22"/>
              </w:rPr>
            </w:pPr>
            <w:r>
              <w:rPr>
                <w:rFonts w:ascii="Calibri" w:hAnsi="Calibri" w:cs="Calibri"/>
                <w:color w:val="000000"/>
                <w:sz w:val="22"/>
              </w:rPr>
              <w:t>Kerava</w:t>
            </w:r>
          </w:p>
        </w:tc>
        <w:tc>
          <w:tcPr>
            <w:tcW w:w="1036" w:type="dxa"/>
            <w:vAlign w:val="bottom"/>
          </w:tcPr>
          <w:p w14:paraId="01565D4F" w14:textId="78DF80E1"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127</w:t>
            </w:r>
          </w:p>
        </w:tc>
        <w:tc>
          <w:tcPr>
            <w:tcW w:w="1075" w:type="dxa"/>
            <w:vAlign w:val="bottom"/>
          </w:tcPr>
          <w:p w14:paraId="69463E0B" w14:textId="50130F8B"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126</w:t>
            </w:r>
          </w:p>
        </w:tc>
        <w:tc>
          <w:tcPr>
            <w:tcW w:w="1203" w:type="dxa"/>
            <w:vAlign w:val="bottom"/>
          </w:tcPr>
          <w:p w14:paraId="46C71B7E" w14:textId="18D1CACE"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-1 %</w:t>
            </w:r>
          </w:p>
        </w:tc>
        <w:tc>
          <w:tcPr>
            <w:tcW w:w="1214" w:type="dxa"/>
            <w:vAlign w:val="bottom"/>
          </w:tcPr>
          <w:p w14:paraId="5F767A80" w14:textId="391DE320"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149</w:t>
            </w:r>
          </w:p>
        </w:tc>
        <w:tc>
          <w:tcPr>
            <w:tcW w:w="1203" w:type="dxa"/>
            <w:vAlign w:val="bottom"/>
          </w:tcPr>
          <w:p w14:paraId="5F467683" w14:textId="55B7AB88"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19 %</w:t>
            </w:r>
          </w:p>
        </w:tc>
      </w:tr>
      <w:tr w:rsidR="005F686C" w14:paraId="6F33811F" w14:textId="77777777" w:rsidTr="00CE06D9">
        <w:tc>
          <w:tcPr>
            <w:tcW w:w="1766" w:type="dxa"/>
            <w:vAlign w:val="bottom"/>
          </w:tcPr>
          <w:p w14:paraId="26183D13" w14:textId="72D165DB" w:rsidR="005F686C" w:rsidRPr="00F019C7" w:rsidRDefault="005F686C" w:rsidP="005F686C">
            <w:pPr>
              <w:pStyle w:val="BodyText"/>
              <w:spacing w:after="0"/>
              <w:ind w:left="0"/>
              <w:rPr>
                <w:rFonts w:ascii="Calibri" w:hAnsi="Calibri" w:cs="Calibri"/>
                <w:b/>
                <w:bCs/>
                <w:color w:val="000000"/>
                <w:sz w:val="22"/>
              </w:rPr>
            </w:pPr>
            <w:r>
              <w:rPr>
                <w:rFonts w:ascii="Calibri" w:hAnsi="Calibri" w:cs="Calibri"/>
                <w:color w:val="000000"/>
                <w:sz w:val="22"/>
              </w:rPr>
              <w:t>Järvenpää</w:t>
            </w:r>
          </w:p>
        </w:tc>
        <w:tc>
          <w:tcPr>
            <w:tcW w:w="1036" w:type="dxa"/>
            <w:vAlign w:val="bottom"/>
          </w:tcPr>
          <w:p w14:paraId="0AEBC38B" w14:textId="06E84D70"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78</w:t>
            </w:r>
          </w:p>
        </w:tc>
        <w:tc>
          <w:tcPr>
            <w:tcW w:w="1075" w:type="dxa"/>
            <w:vAlign w:val="bottom"/>
          </w:tcPr>
          <w:p w14:paraId="11B96378" w14:textId="330A597A"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77</w:t>
            </w:r>
          </w:p>
        </w:tc>
        <w:tc>
          <w:tcPr>
            <w:tcW w:w="1203" w:type="dxa"/>
            <w:vAlign w:val="bottom"/>
          </w:tcPr>
          <w:p w14:paraId="1029C05F" w14:textId="31829A3B"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-2 %</w:t>
            </w:r>
          </w:p>
        </w:tc>
        <w:tc>
          <w:tcPr>
            <w:tcW w:w="1214" w:type="dxa"/>
            <w:vAlign w:val="bottom"/>
          </w:tcPr>
          <w:p w14:paraId="2CC5C4D2" w14:textId="5F989D7B"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93</w:t>
            </w:r>
          </w:p>
        </w:tc>
        <w:tc>
          <w:tcPr>
            <w:tcW w:w="1203" w:type="dxa"/>
            <w:vAlign w:val="bottom"/>
          </w:tcPr>
          <w:p w14:paraId="3A1C6AA1" w14:textId="7A37AFD7"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21 %</w:t>
            </w:r>
          </w:p>
        </w:tc>
      </w:tr>
      <w:tr w:rsidR="005F686C" w14:paraId="3D857714" w14:textId="77777777" w:rsidTr="00CE06D9">
        <w:tc>
          <w:tcPr>
            <w:tcW w:w="1766" w:type="dxa"/>
            <w:vAlign w:val="bottom"/>
          </w:tcPr>
          <w:p w14:paraId="25ED6BEA" w14:textId="607DC835" w:rsidR="005F686C" w:rsidRPr="00F019C7" w:rsidRDefault="005F686C" w:rsidP="005F686C">
            <w:pPr>
              <w:pStyle w:val="BodyText"/>
              <w:spacing w:after="0"/>
              <w:ind w:left="0"/>
              <w:rPr>
                <w:rFonts w:ascii="Calibri" w:hAnsi="Calibri" w:cs="Calibri"/>
                <w:b/>
                <w:bCs/>
                <w:color w:val="000000"/>
                <w:sz w:val="22"/>
              </w:rPr>
            </w:pPr>
            <w:r>
              <w:rPr>
                <w:rFonts w:ascii="Calibri" w:hAnsi="Calibri" w:cs="Calibri"/>
                <w:color w:val="000000"/>
                <w:sz w:val="22"/>
              </w:rPr>
              <w:t>Hyvinkää</w:t>
            </w:r>
          </w:p>
        </w:tc>
        <w:tc>
          <w:tcPr>
            <w:tcW w:w="1036" w:type="dxa"/>
            <w:vAlign w:val="bottom"/>
          </w:tcPr>
          <w:p w14:paraId="2051A7FB" w14:textId="5C8C99D0"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73</w:t>
            </w:r>
          </w:p>
        </w:tc>
        <w:tc>
          <w:tcPr>
            <w:tcW w:w="1075" w:type="dxa"/>
            <w:vAlign w:val="bottom"/>
          </w:tcPr>
          <w:p w14:paraId="77A615F5" w14:textId="25B4BF1A"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73</w:t>
            </w:r>
          </w:p>
        </w:tc>
        <w:tc>
          <w:tcPr>
            <w:tcW w:w="1203" w:type="dxa"/>
            <w:vAlign w:val="bottom"/>
          </w:tcPr>
          <w:p w14:paraId="39A546AC" w14:textId="7854A91F"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14951944" w14:textId="523A7909"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82</w:t>
            </w:r>
          </w:p>
        </w:tc>
        <w:tc>
          <w:tcPr>
            <w:tcW w:w="1203" w:type="dxa"/>
            <w:vAlign w:val="bottom"/>
          </w:tcPr>
          <w:p w14:paraId="36F704F2" w14:textId="0BC4BA76"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13 %</w:t>
            </w:r>
          </w:p>
        </w:tc>
      </w:tr>
      <w:tr w:rsidR="005F686C" w14:paraId="73D9A280" w14:textId="77777777" w:rsidTr="00CE06D9">
        <w:tc>
          <w:tcPr>
            <w:tcW w:w="1766" w:type="dxa"/>
            <w:vAlign w:val="bottom"/>
          </w:tcPr>
          <w:p w14:paraId="443618D3" w14:textId="602FC59F" w:rsidR="005F686C" w:rsidRPr="00F019C7" w:rsidRDefault="005F686C" w:rsidP="005F686C">
            <w:pPr>
              <w:pStyle w:val="BodyText"/>
              <w:spacing w:after="0"/>
              <w:ind w:left="0"/>
              <w:rPr>
                <w:rFonts w:ascii="Calibri" w:hAnsi="Calibri" w:cs="Calibri"/>
                <w:b/>
                <w:bCs/>
                <w:color w:val="000000"/>
                <w:sz w:val="22"/>
              </w:rPr>
            </w:pPr>
            <w:r>
              <w:rPr>
                <w:rFonts w:ascii="Calibri" w:hAnsi="Calibri" w:cs="Calibri"/>
                <w:color w:val="000000"/>
                <w:sz w:val="22"/>
              </w:rPr>
              <w:t>Sipoo</w:t>
            </w:r>
          </w:p>
        </w:tc>
        <w:tc>
          <w:tcPr>
            <w:tcW w:w="1036" w:type="dxa"/>
            <w:vAlign w:val="bottom"/>
          </w:tcPr>
          <w:p w14:paraId="6A633955" w14:textId="1FB69AD4"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54</w:t>
            </w:r>
          </w:p>
        </w:tc>
        <w:tc>
          <w:tcPr>
            <w:tcW w:w="1075" w:type="dxa"/>
            <w:vAlign w:val="bottom"/>
          </w:tcPr>
          <w:p w14:paraId="7B9B542E" w14:textId="301F95D6"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53</w:t>
            </w:r>
          </w:p>
        </w:tc>
        <w:tc>
          <w:tcPr>
            <w:tcW w:w="1203" w:type="dxa"/>
            <w:vAlign w:val="bottom"/>
          </w:tcPr>
          <w:p w14:paraId="10F974E8" w14:textId="662CCF73"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4D069610" w14:textId="39327D3C"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61</w:t>
            </w:r>
          </w:p>
        </w:tc>
        <w:tc>
          <w:tcPr>
            <w:tcW w:w="1203" w:type="dxa"/>
            <w:vAlign w:val="bottom"/>
          </w:tcPr>
          <w:p w14:paraId="10B7BCFB" w14:textId="21F41E80"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15 %</w:t>
            </w:r>
          </w:p>
        </w:tc>
      </w:tr>
      <w:tr w:rsidR="005F686C" w14:paraId="4D09B5A4" w14:textId="77777777" w:rsidTr="00CE06D9">
        <w:tc>
          <w:tcPr>
            <w:tcW w:w="1766" w:type="dxa"/>
            <w:vAlign w:val="bottom"/>
          </w:tcPr>
          <w:p w14:paraId="7F3C06FA" w14:textId="2F50BD86" w:rsidR="005F686C" w:rsidRPr="00F019C7" w:rsidRDefault="005F686C" w:rsidP="005F686C">
            <w:pPr>
              <w:pStyle w:val="BodyText"/>
              <w:spacing w:after="0"/>
              <w:ind w:left="0"/>
              <w:rPr>
                <w:rFonts w:ascii="Calibri" w:hAnsi="Calibri" w:cs="Calibri"/>
                <w:b/>
                <w:bCs/>
                <w:color w:val="000000"/>
                <w:sz w:val="22"/>
              </w:rPr>
            </w:pPr>
            <w:r>
              <w:rPr>
                <w:rFonts w:ascii="Calibri" w:hAnsi="Calibri" w:cs="Calibri"/>
                <w:color w:val="000000"/>
                <w:sz w:val="22"/>
              </w:rPr>
              <w:t>Kirkkonummi</w:t>
            </w:r>
          </w:p>
        </w:tc>
        <w:tc>
          <w:tcPr>
            <w:tcW w:w="1036" w:type="dxa"/>
            <w:vAlign w:val="bottom"/>
          </w:tcPr>
          <w:p w14:paraId="3CE4960A" w14:textId="306A4AEF"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45</w:t>
            </w:r>
          </w:p>
        </w:tc>
        <w:tc>
          <w:tcPr>
            <w:tcW w:w="1075" w:type="dxa"/>
            <w:vAlign w:val="bottom"/>
          </w:tcPr>
          <w:p w14:paraId="285CC2CB" w14:textId="675CC4F8"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45</w:t>
            </w:r>
          </w:p>
        </w:tc>
        <w:tc>
          <w:tcPr>
            <w:tcW w:w="1203" w:type="dxa"/>
            <w:vAlign w:val="bottom"/>
          </w:tcPr>
          <w:p w14:paraId="09A9B254" w14:textId="4ECC9EA5"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-1 %</w:t>
            </w:r>
          </w:p>
        </w:tc>
        <w:tc>
          <w:tcPr>
            <w:tcW w:w="1214" w:type="dxa"/>
            <w:vAlign w:val="bottom"/>
          </w:tcPr>
          <w:p w14:paraId="4E2AE60E" w14:textId="79D2C764"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52</w:t>
            </w:r>
          </w:p>
        </w:tc>
        <w:tc>
          <w:tcPr>
            <w:tcW w:w="1203" w:type="dxa"/>
            <w:vAlign w:val="bottom"/>
          </w:tcPr>
          <w:p w14:paraId="5EC88100" w14:textId="546B48C6"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17 %</w:t>
            </w:r>
          </w:p>
        </w:tc>
      </w:tr>
      <w:tr w:rsidR="005F686C" w14:paraId="5668635B" w14:textId="77777777" w:rsidTr="00CE06D9">
        <w:tc>
          <w:tcPr>
            <w:tcW w:w="1766" w:type="dxa"/>
            <w:vAlign w:val="bottom"/>
          </w:tcPr>
          <w:p w14:paraId="088A29DA" w14:textId="1A33EAB6" w:rsidR="005F686C" w:rsidRPr="00F019C7" w:rsidRDefault="005F686C" w:rsidP="005F686C">
            <w:pPr>
              <w:pStyle w:val="BodyText"/>
              <w:spacing w:after="0"/>
              <w:ind w:left="0"/>
              <w:rPr>
                <w:rFonts w:ascii="Calibri" w:hAnsi="Calibri" w:cs="Calibri"/>
                <w:b/>
                <w:bCs/>
                <w:color w:val="000000"/>
                <w:sz w:val="22"/>
              </w:rPr>
            </w:pPr>
            <w:r>
              <w:rPr>
                <w:rFonts w:ascii="Calibri" w:hAnsi="Calibri" w:cs="Calibri"/>
                <w:color w:val="000000"/>
                <w:sz w:val="22"/>
              </w:rPr>
              <w:t>Porvoo</w:t>
            </w:r>
          </w:p>
        </w:tc>
        <w:tc>
          <w:tcPr>
            <w:tcW w:w="1036" w:type="dxa"/>
            <w:vAlign w:val="bottom"/>
          </w:tcPr>
          <w:p w14:paraId="3774386F" w14:textId="5BAF4DD0"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43</w:t>
            </w:r>
          </w:p>
        </w:tc>
        <w:tc>
          <w:tcPr>
            <w:tcW w:w="1075" w:type="dxa"/>
            <w:vAlign w:val="bottom"/>
          </w:tcPr>
          <w:p w14:paraId="00A5C28F" w14:textId="5E7145CC"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43</w:t>
            </w:r>
          </w:p>
        </w:tc>
        <w:tc>
          <w:tcPr>
            <w:tcW w:w="1203" w:type="dxa"/>
            <w:vAlign w:val="bottom"/>
          </w:tcPr>
          <w:p w14:paraId="72259F52" w14:textId="2D3ACDA4"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285DEF8C" w14:textId="01BAA255"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52</w:t>
            </w:r>
          </w:p>
        </w:tc>
        <w:tc>
          <w:tcPr>
            <w:tcW w:w="1203" w:type="dxa"/>
            <w:vAlign w:val="bottom"/>
          </w:tcPr>
          <w:p w14:paraId="36BB9C4F" w14:textId="3C43C06F"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20 %</w:t>
            </w:r>
          </w:p>
        </w:tc>
      </w:tr>
      <w:tr w:rsidR="005F686C" w14:paraId="0F2DA683" w14:textId="77777777" w:rsidTr="00CE06D9">
        <w:tc>
          <w:tcPr>
            <w:tcW w:w="1766" w:type="dxa"/>
            <w:vAlign w:val="bottom"/>
          </w:tcPr>
          <w:p w14:paraId="7DB88008" w14:textId="67BE7E60" w:rsidR="005F686C" w:rsidRPr="00F019C7" w:rsidRDefault="005F686C" w:rsidP="005F686C">
            <w:pPr>
              <w:pStyle w:val="BodyText"/>
              <w:spacing w:after="0"/>
              <w:ind w:left="0"/>
              <w:rPr>
                <w:rFonts w:ascii="Calibri" w:hAnsi="Calibri" w:cs="Calibri"/>
                <w:b/>
                <w:bCs/>
                <w:color w:val="000000"/>
                <w:sz w:val="22"/>
              </w:rPr>
            </w:pPr>
            <w:r>
              <w:rPr>
                <w:rFonts w:ascii="Calibri" w:hAnsi="Calibri" w:cs="Calibri"/>
                <w:color w:val="000000"/>
                <w:sz w:val="22"/>
              </w:rPr>
              <w:t>Nurmijärvi</w:t>
            </w:r>
          </w:p>
        </w:tc>
        <w:tc>
          <w:tcPr>
            <w:tcW w:w="1036" w:type="dxa"/>
            <w:vAlign w:val="bottom"/>
          </w:tcPr>
          <w:p w14:paraId="2A14BB47" w14:textId="63C3BB6C"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42</w:t>
            </w:r>
          </w:p>
        </w:tc>
        <w:tc>
          <w:tcPr>
            <w:tcW w:w="1075" w:type="dxa"/>
            <w:vAlign w:val="bottom"/>
          </w:tcPr>
          <w:p w14:paraId="78615CBE" w14:textId="228B9617"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42</w:t>
            </w:r>
          </w:p>
        </w:tc>
        <w:tc>
          <w:tcPr>
            <w:tcW w:w="1203" w:type="dxa"/>
            <w:vAlign w:val="bottom"/>
          </w:tcPr>
          <w:p w14:paraId="4A2FEFF1" w14:textId="6D12B1B8"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2C14C166" w14:textId="6917C077"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53</w:t>
            </w:r>
          </w:p>
        </w:tc>
        <w:tc>
          <w:tcPr>
            <w:tcW w:w="1203" w:type="dxa"/>
            <w:vAlign w:val="bottom"/>
          </w:tcPr>
          <w:p w14:paraId="334C3F85" w14:textId="52AE3384"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27 %</w:t>
            </w:r>
          </w:p>
        </w:tc>
      </w:tr>
      <w:tr w:rsidR="005F686C" w14:paraId="6CFB2F59" w14:textId="77777777" w:rsidTr="00CE06D9">
        <w:tc>
          <w:tcPr>
            <w:tcW w:w="1766" w:type="dxa"/>
            <w:vAlign w:val="bottom"/>
          </w:tcPr>
          <w:p w14:paraId="6559B738" w14:textId="1B7476A9" w:rsidR="005F686C" w:rsidRPr="00F019C7" w:rsidRDefault="005F686C" w:rsidP="005F686C">
            <w:pPr>
              <w:pStyle w:val="BodyText"/>
              <w:spacing w:after="0"/>
              <w:ind w:left="0"/>
              <w:rPr>
                <w:rFonts w:ascii="Calibri" w:hAnsi="Calibri" w:cs="Calibri"/>
                <w:b/>
                <w:bCs/>
                <w:color w:val="000000"/>
                <w:sz w:val="22"/>
              </w:rPr>
            </w:pPr>
            <w:r>
              <w:rPr>
                <w:rFonts w:ascii="Calibri" w:hAnsi="Calibri" w:cs="Calibri"/>
                <w:color w:val="000000"/>
                <w:sz w:val="22"/>
              </w:rPr>
              <w:t>Riihimäki</w:t>
            </w:r>
          </w:p>
        </w:tc>
        <w:tc>
          <w:tcPr>
            <w:tcW w:w="1036" w:type="dxa"/>
            <w:vAlign w:val="bottom"/>
          </w:tcPr>
          <w:p w14:paraId="3DD6D20F" w14:textId="7E487A7B"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40</w:t>
            </w:r>
          </w:p>
        </w:tc>
        <w:tc>
          <w:tcPr>
            <w:tcW w:w="1075" w:type="dxa"/>
            <w:vAlign w:val="bottom"/>
          </w:tcPr>
          <w:p w14:paraId="754566CF" w14:textId="4FD636F1"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39</w:t>
            </w:r>
          </w:p>
        </w:tc>
        <w:tc>
          <w:tcPr>
            <w:tcW w:w="1203" w:type="dxa"/>
            <w:vAlign w:val="bottom"/>
          </w:tcPr>
          <w:p w14:paraId="0285F97B" w14:textId="5FE00C06"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68C094E9" w14:textId="634CEEEA"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38</w:t>
            </w:r>
          </w:p>
        </w:tc>
        <w:tc>
          <w:tcPr>
            <w:tcW w:w="1203" w:type="dxa"/>
            <w:vAlign w:val="bottom"/>
          </w:tcPr>
          <w:p w14:paraId="3F1D9573" w14:textId="6F2322D8"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-3 %</w:t>
            </w:r>
          </w:p>
        </w:tc>
      </w:tr>
      <w:tr w:rsidR="005F686C" w14:paraId="4EC94F61" w14:textId="77777777" w:rsidTr="00CE06D9">
        <w:tc>
          <w:tcPr>
            <w:tcW w:w="1766" w:type="dxa"/>
            <w:vAlign w:val="bottom"/>
          </w:tcPr>
          <w:p w14:paraId="7B54499D" w14:textId="316565B1" w:rsidR="005F686C" w:rsidRPr="00F019C7" w:rsidRDefault="005F686C" w:rsidP="005F686C">
            <w:pPr>
              <w:pStyle w:val="BodyText"/>
              <w:spacing w:after="0"/>
              <w:ind w:left="0"/>
              <w:rPr>
                <w:rFonts w:ascii="Calibri" w:hAnsi="Calibri" w:cs="Calibri"/>
                <w:b/>
                <w:bCs/>
                <w:color w:val="000000"/>
                <w:sz w:val="22"/>
              </w:rPr>
            </w:pPr>
            <w:r>
              <w:rPr>
                <w:rFonts w:ascii="Calibri" w:hAnsi="Calibri" w:cs="Calibri"/>
                <w:color w:val="000000"/>
                <w:sz w:val="22"/>
              </w:rPr>
              <w:t>Hattula</w:t>
            </w:r>
          </w:p>
        </w:tc>
        <w:tc>
          <w:tcPr>
            <w:tcW w:w="1036" w:type="dxa"/>
            <w:vAlign w:val="bottom"/>
          </w:tcPr>
          <w:p w14:paraId="6B98F59B" w14:textId="204B7B38"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30</w:t>
            </w:r>
          </w:p>
        </w:tc>
        <w:tc>
          <w:tcPr>
            <w:tcW w:w="1075" w:type="dxa"/>
            <w:vAlign w:val="bottom"/>
          </w:tcPr>
          <w:p w14:paraId="661338F6" w14:textId="7051B56E"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30</w:t>
            </w:r>
          </w:p>
        </w:tc>
        <w:tc>
          <w:tcPr>
            <w:tcW w:w="1203" w:type="dxa"/>
            <w:vAlign w:val="bottom"/>
          </w:tcPr>
          <w:p w14:paraId="0A7D26BD" w14:textId="5EFCD3D7"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7E43CD50" w14:textId="455146BC"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23</w:t>
            </w:r>
          </w:p>
        </w:tc>
        <w:tc>
          <w:tcPr>
            <w:tcW w:w="1203" w:type="dxa"/>
            <w:vAlign w:val="bottom"/>
          </w:tcPr>
          <w:p w14:paraId="0A288029" w14:textId="368F1D92"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-24 %</w:t>
            </w:r>
          </w:p>
        </w:tc>
      </w:tr>
      <w:tr w:rsidR="005F686C" w14:paraId="1829F931" w14:textId="77777777" w:rsidTr="00CE06D9">
        <w:tc>
          <w:tcPr>
            <w:tcW w:w="1766" w:type="dxa"/>
            <w:vAlign w:val="bottom"/>
          </w:tcPr>
          <w:p w14:paraId="1BF715B5" w14:textId="4EFB8D31" w:rsidR="005F686C" w:rsidRPr="00F019C7" w:rsidRDefault="005F686C" w:rsidP="005F686C">
            <w:pPr>
              <w:pStyle w:val="BodyText"/>
              <w:spacing w:after="0"/>
              <w:ind w:left="0"/>
              <w:rPr>
                <w:rFonts w:ascii="Calibri" w:hAnsi="Calibri" w:cs="Calibri"/>
                <w:b/>
                <w:bCs/>
                <w:color w:val="000000"/>
                <w:sz w:val="22"/>
              </w:rPr>
            </w:pPr>
            <w:r>
              <w:rPr>
                <w:rFonts w:ascii="Calibri" w:hAnsi="Calibri" w:cs="Calibri"/>
                <w:color w:val="000000"/>
                <w:sz w:val="22"/>
              </w:rPr>
              <w:t>Lohja</w:t>
            </w:r>
          </w:p>
        </w:tc>
        <w:tc>
          <w:tcPr>
            <w:tcW w:w="1036" w:type="dxa"/>
            <w:vAlign w:val="bottom"/>
          </w:tcPr>
          <w:p w14:paraId="71086F95" w14:textId="55140570"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28</w:t>
            </w:r>
          </w:p>
        </w:tc>
        <w:tc>
          <w:tcPr>
            <w:tcW w:w="1075" w:type="dxa"/>
            <w:vAlign w:val="bottom"/>
          </w:tcPr>
          <w:p w14:paraId="6BAD951F" w14:textId="2B9EA51A"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28</w:t>
            </w:r>
          </w:p>
        </w:tc>
        <w:tc>
          <w:tcPr>
            <w:tcW w:w="1203" w:type="dxa"/>
            <w:vAlign w:val="bottom"/>
          </w:tcPr>
          <w:p w14:paraId="7D3EB8F9" w14:textId="660D3C05"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6A4B2C41" w14:textId="3DF899E3"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35</w:t>
            </w:r>
          </w:p>
        </w:tc>
        <w:tc>
          <w:tcPr>
            <w:tcW w:w="1203" w:type="dxa"/>
            <w:vAlign w:val="bottom"/>
          </w:tcPr>
          <w:p w14:paraId="60EDA6EF" w14:textId="49159F0D"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23 %</w:t>
            </w:r>
          </w:p>
        </w:tc>
      </w:tr>
      <w:tr w:rsidR="005F686C" w14:paraId="658BC3D0" w14:textId="77777777" w:rsidTr="00CE06D9">
        <w:tc>
          <w:tcPr>
            <w:tcW w:w="1766" w:type="dxa"/>
            <w:vAlign w:val="bottom"/>
          </w:tcPr>
          <w:p w14:paraId="1D498287" w14:textId="5D61D280" w:rsidR="005F686C" w:rsidRPr="00F019C7" w:rsidRDefault="005F686C" w:rsidP="005F686C">
            <w:pPr>
              <w:pStyle w:val="BodyText"/>
              <w:spacing w:after="0"/>
              <w:ind w:left="0"/>
              <w:rPr>
                <w:rFonts w:ascii="Calibri" w:hAnsi="Calibri" w:cs="Calibri"/>
                <w:b/>
                <w:bCs/>
                <w:color w:val="000000"/>
                <w:sz w:val="22"/>
              </w:rPr>
            </w:pPr>
            <w:r>
              <w:rPr>
                <w:rFonts w:ascii="Calibri" w:hAnsi="Calibri" w:cs="Calibri"/>
                <w:color w:val="000000"/>
                <w:sz w:val="22"/>
              </w:rPr>
              <w:t>Vihti</w:t>
            </w:r>
          </w:p>
        </w:tc>
        <w:tc>
          <w:tcPr>
            <w:tcW w:w="1036" w:type="dxa"/>
            <w:vAlign w:val="bottom"/>
          </w:tcPr>
          <w:p w14:paraId="28213196" w14:textId="1E5CF401"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26</w:t>
            </w:r>
          </w:p>
        </w:tc>
        <w:tc>
          <w:tcPr>
            <w:tcW w:w="1075" w:type="dxa"/>
            <w:vAlign w:val="bottom"/>
          </w:tcPr>
          <w:p w14:paraId="1C781858" w14:textId="5CF652B4"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26</w:t>
            </w:r>
          </w:p>
        </w:tc>
        <w:tc>
          <w:tcPr>
            <w:tcW w:w="1203" w:type="dxa"/>
            <w:vAlign w:val="bottom"/>
          </w:tcPr>
          <w:p w14:paraId="464A9B12" w14:textId="69D51AD3"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372BD6BC" w14:textId="19868BBD"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31</w:t>
            </w:r>
          </w:p>
        </w:tc>
        <w:tc>
          <w:tcPr>
            <w:tcW w:w="1203" w:type="dxa"/>
            <w:vAlign w:val="bottom"/>
          </w:tcPr>
          <w:p w14:paraId="27D9B1EE" w14:textId="275E1C03"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21 %</w:t>
            </w:r>
          </w:p>
        </w:tc>
      </w:tr>
      <w:tr w:rsidR="005F686C" w14:paraId="087985A4" w14:textId="77777777" w:rsidTr="00CE06D9">
        <w:tc>
          <w:tcPr>
            <w:tcW w:w="1766" w:type="dxa"/>
            <w:vAlign w:val="bottom"/>
          </w:tcPr>
          <w:p w14:paraId="3DE3DFEC" w14:textId="70B02F29" w:rsidR="005F686C" w:rsidRPr="00F019C7" w:rsidRDefault="005F686C" w:rsidP="005F686C">
            <w:pPr>
              <w:pStyle w:val="BodyText"/>
              <w:spacing w:after="0"/>
              <w:ind w:left="0"/>
              <w:rPr>
                <w:rFonts w:ascii="Calibri" w:hAnsi="Calibri" w:cs="Calibri"/>
                <w:b/>
                <w:bCs/>
                <w:color w:val="000000"/>
                <w:sz w:val="22"/>
              </w:rPr>
            </w:pPr>
            <w:r>
              <w:rPr>
                <w:rFonts w:ascii="Calibri" w:hAnsi="Calibri" w:cs="Calibri"/>
                <w:color w:val="000000"/>
                <w:sz w:val="22"/>
              </w:rPr>
              <w:t>Mäntsälä</w:t>
            </w:r>
          </w:p>
        </w:tc>
        <w:tc>
          <w:tcPr>
            <w:tcW w:w="1036" w:type="dxa"/>
            <w:vAlign w:val="bottom"/>
          </w:tcPr>
          <w:p w14:paraId="6A124702" w14:textId="6A6089FD"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20</w:t>
            </w:r>
          </w:p>
        </w:tc>
        <w:tc>
          <w:tcPr>
            <w:tcW w:w="1075" w:type="dxa"/>
            <w:vAlign w:val="bottom"/>
          </w:tcPr>
          <w:p w14:paraId="5A3B159B" w14:textId="0CA18432"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20</w:t>
            </w:r>
          </w:p>
        </w:tc>
        <w:tc>
          <w:tcPr>
            <w:tcW w:w="1203" w:type="dxa"/>
            <w:vAlign w:val="bottom"/>
          </w:tcPr>
          <w:p w14:paraId="27B8BB25" w14:textId="14CF6438"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74F03A21" w14:textId="2F89B7E2"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26</w:t>
            </w:r>
          </w:p>
        </w:tc>
        <w:tc>
          <w:tcPr>
            <w:tcW w:w="1203" w:type="dxa"/>
            <w:vAlign w:val="bottom"/>
          </w:tcPr>
          <w:p w14:paraId="3EF2ECF7" w14:textId="7327725E"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28 %</w:t>
            </w:r>
          </w:p>
        </w:tc>
      </w:tr>
      <w:tr w:rsidR="005F686C" w14:paraId="2D4A90BB" w14:textId="77777777" w:rsidTr="00CE06D9">
        <w:tc>
          <w:tcPr>
            <w:tcW w:w="1766" w:type="dxa"/>
            <w:vAlign w:val="bottom"/>
          </w:tcPr>
          <w:p w14:paraId="3908AA1D" w14:textId="645A61F8" w:rsidR="005F686C" w:rsidRPr="00F019C7" w:rsidRDefault="005F686C" w:rsidP="005F686C">
            <w:pPr>
              <w:pStyle w:val="BodyText"/>
              <w:spacing w:after="0"/>
              <w:ind w:left="0"/>
              <w:rPr>
                <w:rFonts w:ascii="Calibri" w:hAnsi="Calibri" w:cs="Calibri"/>
                <w:b/>
                <w:bCs/>
                <w:color w:val="000000"/>
                <w:sz w:val="22"/>
              </w:rPr>
            </w:pPr>
            <w:r>
              <w:rPr>
                <w:rFonts w:ascii="Calibri" w:hAnsi="Calibri" w:cs="Calibri"/>
                <w:color w:val="000000"/>
                <w:sz w:val="22"/>
              </w:rPr>
              <w:t>Janakkala</w:t>
            </w:r>
          </w:p>
        </w:tc>
        <w:tc>
          <w:tcPr>
            <w:tcW w:w="1036" w:type="dxa"/>
            <w:vAlign w:val="bottom"/>
          </w:tcPr>
          <w:p w14:paraId="1C72E398" w14:textId="264D41E8"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10</w:t>
            </w:r>
          </w:p>
        </w:tc>
        <w:tc>
          <w:tcPr>
            <w:tcW w:w="1075" w:type="dxa"/>
            <w:vAlign w:val="bottom"/>
          </w:tcPr>
          <w:p w14:paraId="7E91F583" w14:textId="24DC03F0"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10</w:t>
            </w:r>
          </w:p>
        </w:tc>
        <w:tc>
          <w:tcPr>
            <w:tcW w:w="1203" w:type="dxa"/>
            <w:vAlign w:val="bottom"/>
          </w:tcPr>
          <w:p w14:paraId="4084A4BE" w14:textId="5646ABE7"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3BB0D422" w14:textId="0C4A1D35"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8</w:t>
            </w:r>
          </w:p>
        </w:tc>
        <w:tc>
          <w:tcPr>
            <w:tcW w:w="1203" w:type="dxa"/>
            <w:vAlign w:val="bottom"/>
          </w:tcPr>
          <w:p w14:paraId="09C6DE4B" w14:textId="035AC7F2"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-18 %</w:t>
            </w:r>
          </w:p>
        </w:tc>
      </w:tr>
      <w:tr w:rsidR="005F686C" w14:paraId="1E2B97BC" w14:textId="77777777" w:rsidTr="00CE06D9">
        <w:tc>
          <w:tcPr>
            <w:tcW w:w="1766" w:type="dxa"/>
            <w:vAlign w:val="bottom"/>
          </w:tcPr>
          <w:p w14:paraId="209F133A" w14:textId="51C1C48C" w:rsidR="005F686C" w:rsidRPr="00F019C7" w:rsidRDefault="005F686C" w:rsidP="005F686C">
            <w:pPr>
              <w:pStyle w:val="BodyText"/>
              <w:spacing w:after="0"/>
              <w:ind w:left="0"/>
              <w:rPr>
                <w:rFonts w:ascii="Calibri" w:hAnsi="Calibri" w:cs="Calibri"/>
                <w:b/>
                <w:bCs/>
                <w:color w:val="000000"/>
                <w:sz w:val="22"/>
              </w:rPr>
            </w:pPr>
            <w:r>
              <w:rPr>
                <w:rFonts w:ascii="Calibri" w:hAnsi="Calibri" w:cs="Calibri"/>
                <w:color w:val="000000"/>
                <w:sz w:val="22"/>
              </w:rPr>
              <w:t>Hausjärvi</w:t>
            </w:r>
          </w:p>
        </w:tc>
        <w:tc>
          <w:tcPr>
            <w:tcW w:w="1036" w:type="dxa"/>
            <w:vAlign w:val="bottom"/>
          </w:tcPr>
          <w:p w14:paraId="11B161E1" w14:textId="09E972D2"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10</w:t>
            </w:r>
          </w:p>
        </w:tc>
        <w:tc>
          <w:tcPr>
            <w:tcW w:w="1075" w:type="dxa"/>
            <w:vAlign w:val="bottom"/>
          </w:tcPr>
          <w:p w14:paraId="5D04A4FE" w14:textId="3629679A"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10</w:t>
            </w:r>
          </w:p>
        </w:tc>
        <w:tc>
          <w:tcPr>
            <w:tcW w:w="1203" w:type="dxa"/>
            <w:vAlign w:val="bottom"/>
          </w:tcPr>
          <w:p w14:paraId="163A7D37" w14:textId="3D26A65D"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5CE271C2" w14:textId="5F8D35D6"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11</w:t>
            </w:r>
          </w:p>
        </w:tc>
        <w:tc>
          <w:tcPr>
            <w:tcW w:w="1203" w:type="dxa"/>
            <w:vAlign w:val="bottom"/>
          </w:tcPr>
          <w:p w14:paraId="763303F4" w14:textId="791C21DB"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12 %</w:t>
            </w:r>
          </w:p>
        </w:tc>
      </w:tr>
      <w:tr w:rsidR="005F686C" w14:paraId="4F3A3B87" w14:textId="77777777" w:rsidTr="00CE06D9">
        <w:tc>
          <w:tcPr>
            <w:tcW w:w="1766" w:type="dxa"/>
            <w:vAlign w:val="bottom"/>
          </w:tcPr>
          <w:p w14:paraId="0FE0B3F0" w14:textId="0DE60549" w:rsidR="005F686C" w:rsidRPr="00F019C7" w:rsidRDefault="005F686C" w:rsidP="005F686C">
            <w:pPr>
              <w:pStyle w:val="BodyText"/>
              <w:spacing w:after="0"/>
              <w:ind w:left="0"/>
              <w:rPr>
                <w:b/>
                <w:bCs/>
              </w:rPr>
            </w:pPr>
            <w:r>
              <w:rPr>
                <w:rFonts w:ascii="Calibri" w:hAnsi="Calibri" w:cs="Calibri"/>
                <w:color w:val="000000"/>
                <w:sz w:val="22"/>
              </w:rPr>
              <w:t>Kärkölä</w:t>
            </w:r>
          </w:p>
        </w:tc>
        <w:tc>
          <w:tcPr>
            <w:tcW w:w="1036" w:type="dxa"/>
            <w:vAlign w:val="bottom"/>
          </w:tcPr>
          <w:p w14:paraId="3A63B7F5" w14:textId="53ECA32D" w:rsidR="005F686C" w:rsidRDefault="005F686C" w:rsidP="005F686C">
            <w:pPr>
              <w:pStyle w:val="BodyText"/>
              <w:spacing w:after="0"/>
              <w:ind w:left="0"/>
              <w:jc w:val="center"/>
            </w:pPr>
            <w:r>
              <w:rPr>
                <w:rFonts w:ascii="Calibri" w:hAnsi="Calibri" w:cs="Calibri"/>
                <w:color w:val="000000"/>
                <w:sz w:val="22"/>
              </w:rPr>
              <w:t>10</w:t>
            </w:r>
          </w:p>
        </w:tc>
        <w:tc>
          <w:tcPr>
            <w:tcW w:w="1075" w:type="dxa"/>
            <w:vAlign w:val="bottom"/>
          </w:tcPr>
          <w:p w14:paraId="1E950D92" w14:textId="0FC87768" w:rsidR="005F686C" w:rsidRDefault="005F686C" w:rsidP="005F686C">
            <w:pPr>
              <w:pStyle w:val="BodyText"/>
              <w:spacing w:after="0"/>
              <w:ind w:left="0"/>
              <w:jc w:val="center"/>
            </w:pPr>
            <w:r>
              <w:rPr>
                <w:rFonts w:ascii="Calibri" w:hAnsi="Calibri" w:cs="Calibri"/>
                <w:color w:val="000000"/>
                <w:sz w:val="22"/>
              </w:rPr>
              <w:t>10</w:t>
            </w:r>
          </w:p>
        </w:tc>
        <w:tc>
          <w:tcPr>
            <w:tcW w:w="1203" w:type="dxa"/>
            <w:vAlign w:val="bottom"/>
          </w:tcPr>
          <w:p w14:paraId="57364C2A" w14:textId="54CFA582"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5914D4F4" w14:textId="3F25E498" w:rsidR="005F686C" w:rsidRDefault="005F686C" w:rsidP="005F686C">
            <w:pPr>
              <w:pStyle w:val="BodyText"/>
              <w:spacing w:after="0"/>
              <w:ind w:left="0"/>
              <w:jc w:val="center"/>
            </w:pPr>
            <w:r>
              <w:rPr>
                <w:rFonts w:ascii="Calibri" w:hAnsi="Calibri" w:cs="Calibri"/>
                <w:color w:val="000000"/>
                <w:sz w:val="22"/>
              </w:rPr>
              <w:t>10</w:t>
            </w:r>
          </w:p>
        </w:tc>
        <w:tc>
          <w:tcPr>
            <w:tcW w:w="1203" w:type="dxa"/>
            <w:vAlign w:val="bottom"/>
          </w:tcPr>
          <w:p w14:paraId="0F3A6B7C" w14:textId="6ABE34D6"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4 %</w:t>
            </w:r>
          </w:p>
        </w:tc>
      </w:tr>
      <w:tr w:rsidR="005F686C" w14:paraId="4E411FDE" w14:textId="77777777" w:rsidTr="00CE06D9">
        <w:tc>
          <w:tcPr>
            <w:tcW w:w="1766" w:type="dxa"/>
            <w:vAlign w:val="bottom"/>
          </w:tcPr>
          <w:p w14:paraId="080A8ED3" w14:textId="6E2EAAD0" w:rsidR="005F686C" w:rsidRPr="00F019C7" w:rsidRDefault="005F686C" w:rsidP="005F686C">
            <w:pPr>
              <w:pStyle w:val="BodyText"/>
              <w:spacing w:after="0"/>
              <w:ind w:left="0"/>
              <w:rPr>
                <w:b/>
                <w:bCs/>
              </w:rPr>
            </w:pPr>
            <w:r>
              <w:rPr>
                <w:rFonts w:ascii="Calibri" w:hAnsi="Calibri" w:cs="Calibri"/>
                <w:color w:val="000000"/>
                <w:sz w:val="22"/>
              </w:rPr>
              <w:t>Karkkila</w:t>
            </w:r>
          </w:p>
        </w:tc>
        <w:tc>
          <w:tcPr>
            <w:tcW w:w="1036" w:type="dxa"/>
            <w:vAlign w:val="bottom"/>
          </w:tcPr>
          <w:p w14:paraId="1815F3E5" w14:textId="44706761" w:rsidR="005F686C" w:rsidRDefault="005F686C" w:rsidP="005F686C">
            <w:pPr>
              <w:pStyle w:val="BodyText"/>
              <w:spacing w:after="0"/>
              <w:ind w:left="0"/>
              <w:jc w:val="center"/>
            </w:pPr>
            <w:r>
              <w:rPr>
                <w:rFonts w:ascii="Calibri" w:hAnsi="Calibri" w:cs="Calibri"/>
                <w:color w:val="000000"/>
                <w:sz w:val="22"/>
              </w:rPr>
              <w:t>10</w:t>
            </w:r>
          </w:p>
        </w:tc>
        <w:tc>
          <w:tcPr>
            <w:tcW w:w="1075" w:type="dxa"/>
            <w:vAlign w:val="bottom"/>
          </w:tcPr>
          <w:p w14:paraId="1D3A575C" w14:textId="14403B1E" w:rsidR="005F686C" w:rsidRDefault="005F686C" w:rsidP="005F686C">
            <w:pPr>
              <w:pStyle w:val="BodyText"/>
              <w:spacing w:after="0"/>
              <w:ind w:left="0"/>
              <w:jc w:val="center"/>
            </w:pPr>
            <w:r>
              <w:rPr>
                <w:rFonts w:ascii="Calibri" w:hAnsi="Calibri" w:cs="Calibri"/>
                <w:color w:val="000000"/>
                <w:sz w:val="22"/>
              </w:rPr>
              <w:t>10</w:t>
            </w:r>
          </w:p>
        </w:tc>
        <w:tc>
          <w:tcPr>
            <w:tcW w:w="1203" w:type="dxa"/>
            <w:vAlign w:val="bottom"/>
          </w:tcPr>
          <w:p w14:paraId="62361C9E" w14:textId="534E025C"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50F4BC14" w14:textId="2E78A8A3" w:rsidR="005F686C" w:rsidRDefault="005F686C" w:rsidP="005F686C">
            <w:pPr>
              <w:pStyle w:val="BodyText"/>
              <w:spacing w:after="0"/>
              <w:ind w:left="0"/>
              <w:jc w:val="center"/>
            </w:pPr>
            <w:r>
              <w:rPr>
                <w:rFonts w:ascii="Calibri" w:hAnsi="Calibri" w:cs="Calibri"/>
                <w:color w:val="000000"/>
                <w:sz w:val="22"/>
              </w:rPr>
              <w:t>12</w:t>
            </w:r>
          </w:p>
        </w:tc>
        <w:tc>
          <w:tcPr>
            <w:tcW w:w="1203" w:type="dxa"/>
            <w:vAlign w:val="bottom"/>
          </w:tcPr>
          <w:p w14:paraId="57E02D92" w14:textId="6660DADB"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19 %</w:t>
            </w:r>
          </w:p>
        </w:tc>
      </w:tr>
      <w:tr w:rsidR="005F686C" w14:paraId="3DB551A3" w14:textId="77777777" w:rsidTr="00CE06D9">
        <w:tc>
          <w:tcPr>
            <w:tcW w:w="1766" w:type="dxa"/>
            <w:vAlign w:val="bottom"/>
          </w:tcPr>
          <w:p w14:paraId="33705BB8" w14:textId="03717CFB" w:rsidR="005F686C" w:rsidRPr="00F019C7" w:rsidRDefault="005F686C" w:rsidP="005F686C">
            <w:pPr>
              <w:pStyle w:val="BodyText"/>
              <w:spacing w:after="0"/>
              <w:ind w:left="0"/>
              <w:rPr>
                <w:b/>
                <w:bCs/>
              </w:rPr>
            </w:pPr>
            <w:r>
              <w:rPr>
                <w:rFonts w:ascii="Calibri" w:hAnsi="Calibri" w:cs="Calibri"/>
                <w:color w:val="000000"/>
                <w:sz w:val="22"/>
              </w:rPr>
              <w:t>Pornainen</w:t>
            </w:r>
          </w:p>
        </w:tc>
        <w:tc>
          <w:tcPr>
            <w:tcW w:w="1036" w:type="dxa"/>
            <w:vAlign w:val="bottom"/>
          </w:tcPr>
          <w:p w14:paraId="787B7409" w14:textId="656AA81D" w:rsidR="005F686C" w:rsidRDefault="005F686C" w:rsidP="005F686C">
            <w:pPr>
              <w:pStyle w:val="BodyText"/>
              <w:spacing w:after="0"/>
              <w:ind w:left="0"/>
              <w:jc w:val="center"/>
            </w:pPr>
            <w:r>
              <w:rPr>
                <w:rFonts w:ascii="Calibri" w:hAnsi="Calibri" w:cs="Calibri"/>
                <w:color w:val="000000"/>
                <w:sz w:val="22"/>
              </w:rPr>
              <w:t>8</w:t>
            </w:r>
          </w:p>
        </w:tc>
        <w:tc>
          <w:tcPr>
            <w:tcW w:w="1075" w:type="dxa"/>
            <w:vAlign w:val="bottom"/>
          </w:tcPr>
          <w:p w14:paraId="331F8770" w14:textId="37D3A0C9" w:rsidR="005F686C" w:rsidRDefault="005F686C" w:rsidP="005F686C">
            <w:pPr>
              <w:pStyle w:val="BodyText"/>
              <w:spacing w:after="0"/>
              <w:ind w:left="0"/>
              <w:jc w:val="center"/>
            </w:pPr>
            <w:r>
              <w:rPr>
                <w:rFonts w:ascii="Calibri" w:hAnsi="Calibri" w:cs="Calibri"/>
                <w:color w:val="000000"/>
                <w:sz w:val="22"/>
              </w:rPr>
              <w:t>8</w:t>
            </w:r>
          </w:p>
        </w:tc>
        <w:tc>
          <w:tcPr>
            <w:tcW w:w="1203" w:type="dxa"/>
            <w:vAlign w:val="bottom"/>
          </w:tcPr>
          <w:p w14:paraId="5B9BAB6D" w14:textId="4AB4DAAF"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-1 %</w:t>
            </w:r>
          </w:p>
        </w:tc>
        <w:tc>
          <w:tcPr>
            <w:tcW w:w="1214" w:type="dxa"/>
            <w:vAlign w:val="bottom"/>
          </w:tcPr>
          <w:p w14:paraId="7E0C6955" w14:textId="4BFB3940" w:rsidR="005F686C" w:rsidRDefault="005F686C" w:rsidP="005F686C">
            <w:pPr>
              <w:pStyle w:val="BodyText"/>
              <w:spacing w:after="0"/>
              <w:ind w:left="0"/>
              <w:jc w:val="center"/>
            </w:pPr>
            <w:r>
              <w:rPr>
                <w:rFonts w:ascii="Calibri" w:hAnsi="Calibri" w:cs="Calibri"/>
                <w:color w:val="000000"/>
                <w:sz w:val="22"/>
              </w:rPr>
              <w:t>11</w:t>
            </w:r>
          </w:p>
        </w:tc>
        <w:tc>
          <w:tcPr>
            <w:tcW w:w="1203" w:type="dxa"/>
            <w:vAlign w:val="bottom"/>
          </w:tcPr>
          <w:p w14:paraId="3D31E1EF" w14:textId="70F89F04"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34 %</w:t>
            </w:r>
          </w:p>
        </w:tc>
      </w:tr>
      <w:tr w:rsidR="005F686C" w14:paraId="466F6454" w14:textId="77777777" w:rsidTr="00CE06D9">
        <w:tc>
          <w:tcPr>
            <w:tcW w:w="1766" w:type="dxa"/>
            <w:vAlign w:val="bottom"/>
          </w:tcPr>
          <w:p w14:paraId="70099C73" w14:textId="727E0D63" w:rsidR="005F686C" w:rsidRPr="00F019C7" w:rsidRDefault="005F686C" w:rsidP="005F686C">
            <w:pPr>
              <w:pStyle w:val="BodyText"/>
              <w:spacing w:after="0"/>
              <w:ind w:left="0"/>
              <w:rPr>
                <w:b/>
                <w:bCs/>
              </w:rPr>
            </w:pPr>
            <w:r>
              <w:rPr>
                <w:rFonts w:ascii="Calibri" w:hAnsi="Calibri" w:cs="Calibri"/>
                <w:color w:val="000000"/>
                <w:sz w:val="22"/>
              </w:rPr>
              <w:t>Siuntio</w:t>
            </w:r>
          </w:p>
        </w:tc>
        <w:tc>
          <w:tcPr>
            <w:tcW w:w="1036" w:type="dxa"/>
            <w:vAlign w:val="bottom"/>
          </w:tcPr>
          <w:p w14:paraId="3BC3D77F" w14:textId="1714D090" w:rsidR="005F686C" w:rsidRDefault="005F686C" w:rsidP="005F686C">
            <w:pPr>
              <w:pStyle w:val="BodyText"/>
              <w:spacing w:after="0"/>
              <w:ind w:left="0"/>
              <w:jc w:val="center"/>
            </w:pPr>
            <w:r>
              <w:rPr>
                <w:rFonts w:ascii="Calibri" w:hAnsi="Calibri" w:cs="Calibri"/>
                <w:color w:val="000000"/>
                <w:sz w:val="22"/>
              </w:rPr>
              <w:t>7</w:t>
            </w:r>
          </w:p>
        </w:tc>
        <w:tc>
          <w:tcPr>
            <w:tcW w:w="1075" w:type="dxa"/>
            <w:vAlign w:val="bottom"/>
          </w:tcPr>
          <w:p w14:paraId="632EF661" w14:textId="3C99D4D4" w:rsidR="005F686C" w:rsidRDefault="005F686C" w:rsidP="005F686C">
            <w:pPr>
              <w:pStyle w:val="BodyText"/>
              <w:spacing w:after="0"/>
              <w:ind w:left="0"/>
              <w:jc w:val="center"/>
            </w:pPr>
            <w:r>
              <w:rPr>
                <w:rFonts w:ascii="Calibri" w:hAnsi="Calibri" w:cs="Calibri"/>
                <w:color w:val="000000"/>
                <w:sz w:val="22"/>
              </w:rPr>
              <w:t>7</w:t>
            </w:r>
          </w:p>
        </w:tc>
        <w:tc>
          <w:tcPr>
            <w:tcW w:w="1203" w:type="dxa"/>
            <w:vAlign w:val="bottom"/>
          </w:tcPr>
          <w:p w14:paraId="1BAEDFE0" w14:textId="6A79105E"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1ECF58C9" w14:textId="50C9DFCD" w:rsidR="005F686C" w:rsidRDefault="005F686C" w:rsidP="005F686C">
            <w:pPr>
              <w:pStyle w:val="BodyText"/>
              <w:spacing w:after="0"/>
              <w:ind w:left="0"/>
              <w:jc w:val="center"/>
            </w:pPr>
            <w:r>
              <w:rPr>
                <w:rFonts w:ascii="Calibri" w:hAnsi="Calibri" w:cs="Calibri"/>
                <w:color w:val="000000"/>
                <w:sz w:val="22"/>
              </w:rPr>
              <w:t>9</w:t>
            </w:r>
          </w:p>
        </w:tc>
        <w:tc>
          <w:tcPr>
            <w:tcW w:w="1203" w:type="dxa"/>
            <w:vAlign w:val="bottom"/>
          </w:tcPr>
          <w:p w14:paraId="138DEAA4" w14:textId="4BF541A3"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22 %</w:t>
            </w:r>
          </w:p>
        </w:tc>
      </w:tr>
      <w:tr w:rsidR="005F686C" w14:paraId="77E65DA3" w14:textId="77777777" w:rsidTr="00CE06D9">
        <w:tc>
          <w:tcPr>
            <w:tcW w:w="1766" w:type="dxa"/>
            <w:vAlign w:val="bottom"/>
          </w:tcPr>
          <w:p w14:paraId="3A68C0AF" w14:textId="3AB976A5" w:rsidR="005F686C" w:rsidRPr="00F019C7" w:rsidRDefault="005F686C" w:rsidP="005F686C">
            <w:pPr>
              <w:pStyle w:val="BodyText"/>
              <w:spacing w:after="0"/>
              <w:ind w:left="0"/>
              <w:rPr>
                <w:b/>
                <w:bCs/>
              </w:rPr>
            </w:pPr>
            <w:r>
              <w:rPr>
                <w:rFonts w:ascii="Calibri" w:hAnsi="Calibri" w:cs="Calibri"/>
                <w:color w:val="000000"/>
                <w:sz w:val="22"/>
              </w:rPr>
              <w:t>Loppi</w:t>
            </w:r>
          </w:p>
        </w:tc>
        <w:tc>
          <w:tcPr>
            <w:tcW w:w="1036" w:type="dxa"/>
            <w:vAlign w:val="bottom"/>
          </w:tcPr>
          <w:p w14:paraId="5FB4CF11" w14:textId="6271E39C" w:rsidR="005F686C" w:rsidRDefault="005F686C" w:rsidP="005F686C">
            <w:pPr>
              <w:pStyle w:val="BodyText"/>
              <w:spacing w:after="0"/>
              <w:ind w:left="0"/>
              <w:jc w:val="center"/>
            </w:pPr>
            <w:r>
              <w:rPr>
                <w:rFonts w:ascii="Calibri" w:hAnsi="Calibri" w:cs="Calibri"/>
                <w:color w:val="000000"/>
                <w:sz w:val="22"/>
              </w:rPr>
              <w:t>6</w:t>
            </w:r>
          </w:p>
        </w:tc>
        <w:tc>
          <w:tcPr>
            <w:tcW w:w="1075" w:type="dxa"/>
            <w:vAlign w:val="bottom"/>
          </w:tcPr>
          <w:p w14:paraId="3678A2AE" w14:textId="14ED8002" w:rsidR="005F686C" w:rsidRDefault="005F686C" w:rsidP="005F686C">
            <w:pPr>
              <w:pStyle w:val="BodyText"/>
              <w:spacing w:after="0"/>
              <w:ind w:left="0"/>
              <w:jc w:val="center"/>
            </w:pPr>
            <w:r>
              <w:rPr>
                <w:rFonts w:ascii="Calibri" w:hAnsi="Calibri" w:cs="Calibri"/>
                <w:color w:val="000000"/>
                <w:sz w:val="22"/>
              </w:rPr>
              <w:t>6</w:t>
            </w:r>
          </w:p>
        </w:tc>
        <w:tc>
          <w:tcPr>
            <w:tcW w:w="1203" w:type="dxa"/>
            <w:vAlign w:val="bottom"/>
          </w:tcPr>
          <w:p w14:paraId="4D05CF71" w14:textId="2179AB91"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72F400E8" w14:textId="354EAC23" w:rsidR="005F686C" w:rsidRDefault="005F686C" w:rsidP="005F686C">
            <w:pPr>
              <w:pStyle w:val="BodyText"/>
              <w:spacing w:after="0"/>
              <w:ind w:left="0"/>
              <w:jc w:val="center"/>
            </w:pPr>
            <w:r>
              <w:rPr>
                <w:rFonts w:ascii="Calibri" w:hAnsi="Calibri" w:cs="Calibri"/>
                <w:color w:val="000000"/>
                <w:sz w:val="22"/>
              </w:rPr>
              <w:t>6</w:t>
            </w:r>
          </w:p>
        </w:tc>
        <w:tc>
          <w:tcPr>
            <w:tcW w:w="1203" w:type="dxa"/>
            <w:vAlign w:val="bottom"/>
          </w:tcPr>
          <w:p w14:paraId="15D3C2D7" w14:textId="6142BD12"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-1 %</w:t>
            </w:r>
          </w:p>
        </w:tc>
      </w:tr>
      <w:tr w:rsidR="005F686C" w14:paraId="5C31E3DA" w14:textId="77777777" w:rsidTr="00CE06D9">
        <w:tc>
          <w:tcPr>
            <w:tcW w:w="1766" w:type="dxa"/>
            <w:vAlign w:val="bottom"/>
          </w:tcPr>
          <w:p w14:paraId="5BA32482" w14:textId="1DF170BC" w:rsidR="005F686C" w:rsidRPr="00F019C7" w:rsidRDefault="005F686C" w:rsidP="005F686C">
            <w:pPr>
              <w:pStyle w:val="BodyText"/>
              <w:spacing w:after="0"/>
              <w:ind w:left="0"/>
              <w:rPr>
                <w:b/>
                <w:bCs/>
              </w:rPr>
            </w:pPr>
            <w:r>
              <w:rPr>
                <w:rFonts w:ascii="Calibri" w:hAnsi="Calibri" w:cs="Calibri"/>
                <w:color w:val="000000"/>
                <w:sz w:val="22"/>
              </w:rPr>
              <w:t>Askola</w:t>
            </w:r>
          </w:p>
        </w:tc>
        <w:tc>
          <w:tcPr>
            <w:tcW w:w="1036" w:type="dxa"/>
            <w:vAlign w:val="bottom"/>
          </w:tcPr>
          <w:p w14:paraId="1CBC7774" w14:textId="4649C4D6" w:rsidR="005F686C" w:rsidRDefault="005F686C" w:rsidP="005F686C">
            <w:pPr>
              <w:pStyle w:val="BodyText"/>
              <w:spacing w:after="0"/>
              <w:ind w:left="0"/>
              <w:jc w:val="center"/>
            </w:pPr>
            <w:r>
              <w:rPr>
                <w:rFonts w:ascii="Calibri" w:hAnsi="Calibri" w:cs="Calibri"/>
                <w:color w:val="000000"/>
                <w:sz w:val="22"/>
              </w:rPr>
              <w:t>4</w:t>
            </w:r>
          </w:p>
        </w:tc>
        <w:tc>
          <w:tcPr>
            <w:tcW w:w="1075" w:type="dxa"/>
            <w:vAlign w:val="bottom"/>
          </w:tcPr>
          <w:p w14:paraId="053F6A05" w14:textId="07572468" w:rsidR="005F686C" w:rsidRDefault="005F686C" w:rsidP="005F686C">
            <w:pPr>
              <w:pStyle w:val="BodyText"/>
              <w:spacing w:after="0"/>
              <w:ind w:left="0"/>
              <w:jc w:val="center"/>
            </w:pPr>
            <w:r>
              <w:rPr>
                <w:rFonts w:ascii="Calibri" w:hAnsi="Calibri" w:cs="Calibri"/>
                <w:color w:val="000000"/>
                <w:sz w:val="22"/>
              </w:rPr>
              <w:t>4</w:t>
            </w:r>
          </w:p>
        </w:tc>
        <w:tc>
          <w:tcPr>
            <w:tcW w:w="1203" w:type="dxa"/>
            <w:vAlign w:val="bottom"/>
          </w:tcPr>
          <w:p w14:paraId="6CD3033A" w14:textId="1E20E868"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762FB7DC" w14:textId="66DA007E" w:rsidR="005F686C" w:rsidRDefault="005F686C" w:rsidP="005F686C">
            <w:pPr>
              <w:pStyle w:val="BodyText"/>
              <w:spacing w:after="0"/>
              <w:ind w:left="0"/>
              <w:jc w:val="center"/>
            </w:pPr>
            <w:r>
              <w:rPr>
                <w:rFonts w:ascii="Calibri" w:hAnsi="Calibri" w:cs="Calibri"/>
                <w:color w:val="000000"/>
                <w:sz w:val="22"/>
              </w:rPr>
              <w:t>5</w:t>
            </w:r>
          </w:p>
        </w:tc>
        <w:tc>
          <w:tcPr>
            <w:tcW w:w="1203" w:type="dxa"/>
            <w:vAlign w:val="bottom"/>
          </w:tcPr>
          <w:p w14:paraId="1FAD736D" w14:textId="5FD3797B"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28 %</w:t>
            </w:r>
          </w:p>
        </w:tc>
      </w:tr>
      <w:tr w:rsidR="005F686C" w14:paraId="3E825EB0" w14:textId="77777777" w:rsidTr="00CE06D9">
        <w:tc>
          <w:tcPr>
            <w:tcW w:w="1766" w:type="dxa"/>
            <w:vAlign w:val="bottom"/>
          </w:tcPr>
          <w:p w14:paraId="00FF1870" w14:textId="5F4F8EB7" w:rsidR="005F686C" w:rsidRPr="00F019C7" w:rsidRDefault="005F686C" w:rsidP="005F686C">
            <w:pPr>
              <w:pStyle w:val="BodyText"/>
              <w:spacing w:after="0"/>
              <w:ind w:left="0"/>
              <w:rPr>
                <w:b/>
                <w:bCs/>
              </w:rPr>
            </w:pPr>
            <w:r>
              <w:rPr>
                <w:rFonts w:ascii="Calibri" w:hAnsi="Calibri" w:cs="Calibri"/>
                <w:color w:val="000000"/>
                <w:sz w:val="22"/>
              </w:rPr>
              <w:t>Myrskylä</w:t>
            </w:r>
          </w:p>
        </w:tc>
        <w:tc>
          <w:tcPr>
            <w:tcW w:w="1036" w:type="dxa"/>
            <w:vAlign w:val="bottom"/>
          </w:tcPr>
          <w:p w14:paraId="555925ED" w14:textId="354280C4" w:rsidR="005F686C" w:rsidRDefault="005F686C" w:rsidP="005F686C">
            <w:pPr>
              <w:pStyle w:val="BodyText"/>
              <w:spacing w:after="0"/>
              <w:ind w:left="0"/>
              <w:jc w:val="center"/>
            </w:pPr>
            <w:r>
              <w:rPr>
                <w:rFonts w:ascii="Calibri" w:hAnsi="Calibri" w:cs="Calibri"/>
                <w:color w:val="000000"/>
                <w:sz w:val="22"/>
              </w:rPr>
              <w:t>2</w:t>
            </w:r>
          </w:p>
        </w:tc>
        <w:tc>
          <w:tcPr>
            <w:tcW w:w="1075" w:type="dxa"/>
            <w:vAlign w:val="bottom"/>
          </w:tcPr>
          <w:p w14:paraId="5810D980" w14:textId="26ABB704" w:rsidR="005F686C" w:rsidRDefault="005F686C" w:rsidP="005F686C">
            <w:pPr>
              <w:pStyle w:val="BodyText"/>
              <w:spacing w:after="0"/>
              <w:ind w:left="0"/>
              <w:jc w:val="center"/>
            </w:pPr>
            <w:r>
              <w:rPr>
                <w:rFonts w:ascii="Calibri" w:hAnsi="Calibri" w:cs="Calibri"/>
                <w:color w:val="000000"/>
                <w:sz w:val="22"/>
              </w:rPr>
              <w:t>2</w:t>
            </w:r>
          </w:p>
        </w:tc>
        <w:tc>
          <w:tcPr>
            <w:tcW w:w="1203" w:type="dxa"/>
            <w:vAlign w:val="bottom"/>
          </w:tcPr>
          <w:p w14:paraId="1974F817" w14:textId="17936099"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375E561C" w14:textId="3F8A03F9" w:rsidR="005F686C" w:rsidRDefault="005F686C" w:rsidP="005F686C">
            <w:pPr>
              <w:pStyle w:val="BodyText"/>
              <w:spacing w:after="0"/>
              <w:ind w:left="0"/>
              <w:jc w:val="center"/>
            </w:pPr>
            <w:r>
              <w:rPr>
                <w:rFonts w:ascii="Calibri" w:hAnsi="Calibri" w:cs="Calibri"/>
                <w:color w:val="000000"/>
                <w:sz w:val="22"/>
              </w:rPr>
              <w:t>3</w:t>
            </w:r>
          </w:p>
        </w:tc>
        <w:tc>
          <w:tcPr>
            <w:tcW w:w="1203" w:type="dxa"/>
            <w:vAlign w:val="bottom"/>
          </w:tcPr>
          <w:p w14:paraId="391A3C26" w14:textId="7074B10F"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45 %</w:t>
            </w:r>
          </w:p>
        </w:tc>
      </w:tr>
      <w:tr w:rsidR="005F686C" w14:paraId="02EEC7B8" w14:textId="77777777" w:rsidTr="00CE06D9">
        <w:tc>
          <w:tcPr>
            <w:tcW w:w="1766" w:type="dxa"/>
            <w:vAlign w:val="bottom"/>
          </w:tcPr>
          <w:p w14:paraId="2A775A75" w14:textId="7B44CF97" w:rsidR="005F686C" w:rsidRPr="00F019C7" w:rsidRDefault="005F686C" w:rsidP="005F686C">
            <w:pPr>
              <w:pStyle w:val="BodyText"/>
              <w:spacing w:after="0"/>
              <w:ind w:left="0"/>
              <w:rPr>
                <w:b/>
                <w:bCs/>
              </w:rPr>
            </w:pPr>
            <w:r>
              <w:rPr>
                <w:rFonts w:ascii="Calibri" w:hAnsi="Calibri" w:cs="Calibri"/>
                <w:color w:val="000000"/>
                <w:sz w:val="22"/>
              </w:rPr>
              <w:t>Pukkila</w:t>
            </w:r>
          </w:p>
        </w:tc>
        <w:tc>
          <w:tcPr>
            <w:tcW w:w="1036" w:type="dxa"/>
            <w:vAlign w:val="bottom"/>
          </w:tcPr>
          <w:p w14:paraId="3FD61026" w14:textId="315A6FAD" w:rsidR="005F686C" w:rsidRDefault="005F686C" w:rsidP="005F686C">
            <w:pPr>
              <w:pStyle w:val="BodyText"/>
              <w:spacing w:after="0"/>
              <w:ind w:left="0"/>
              <w:jc w:val="center"/>
            </w:pPr>
            <w:r>
              <w:rPr>
                <w:rFonts w:ascii="Calibri" w:hAnsi="Calibri" w:cs="Calibri"/>
                <w:color w:val="000000"/>
                <w:sz w:val="22"/>
              </w:rPr>
              <w:t>1</w:t>
            </w:r>
          </w:p>
        </w:tc>
        <w:tc>
          <w:tcPr>
            <w:tcW w:w="1075" w:type="dxa"/>
            <w:vAlign w:val="bottom"/>
          </w:tcPr>
          <w:p w14:paraId="12364CE3" w14:textId="0A6DB677" w:rsidR="005F686C" w:rsidRDefault="005F686C" w:rsidP="005F686C">
            <w:pPr>
              <w:pStyle w:val="BodyText"/>
              <w:spacing w:after="0"/>
              <w:ind w:left="0"/>
              <w:jc w:val="center"/>
            </w:pPr>
            <w:r>
              <w:rPr>
                <w:rFonts w:ascii="Calibri" w:hAnsi="Calibri" w:cs="Calibri"/>
                <w:color w:val="000000"/>
                <w:sz w:val="22"/>
              </w:rPr>
              <w:t>1</w:t>
            </w:r>
          </w:p>
        </w:tc>
        <w:tc>
          <w:tcPr>
            <w:tcW w:w="1203" w:type="dxa"/>
            <w:vAlign w:val="bottom"/>
          </w:tcPr>
          <w:p w14:paraId="48305417" w14:textId="756A5103"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0116D5F8" w14:textId="31C651E7" w:rsidR="005F686C" w:rsidRDefault="005F686C" w:rsidP="005F686C">
            <w:pPr>
              <w:pStyle w:val="BodyText"/>
              <w:spacing w:after="0"/>
              <w:ind w:left="0"/>
              <w:jc w:val="center"/>
            </w:pPr>
            <w:r>
              <w:rPr>
                <w:rFonts w:ascii="Calibri" w:hAnsi="Calibri" w:cs="Calibri"/>
                <w:color w:val="000000"/>
                <w:sz w:val="22"/>
              </w:rPr>
              <w:t>2</w:t>
            </w:r>
          </w:p>
        </w:tc>
        <w:tc>
          <w:tcPr>
            <w:tcW w:w="1203" w:type="dxa"/>
            <w:vAlign w:val="bottom"/>
          </w:tcPr>
          <w:p w14:paraId="641B35E0" w14:textId="72A36E85"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32 %</w:t>
            </w:r>
          </w:p>
        </w:tc>
      </w:tr>
      <w:tr w:rsidR="005F686C" w14:paraId="62B2C177" w14:textId="77777777" w:rsidTr="00CE06D9">
        <w:tc>
          <w:tcPr>
            <w:tcW w:w="1766" w:type="dxa"/>
            <w:vAlign w:val="bottom"/>
          </w:tcPr>
          <w:p w14:paraId="1D7087A8" w14:textId="4558F0DF" w:rsidR="005F686C" w:rsidRPr="00F019C7" w:rsidRDefault="005F686C" w:rsidP="005F686C">
            <w:pPr>
              <w:pStyle w:val="BodyText"/>
              <w:spacing w:after="0"/>
              <w:ind w:left="0"/>
              <w:rPr>
                <w:b/>
                <w:bCs/>
              </w:rPr>
            </w:pPr>
            <w:r>
              <w:rPr>
                <w:rFonts w:ascii="Calibri" w:hAnsi="Calibri" w:cs="Calibri"/>
                <w:color w:val="000000"/>
                <w:sz w:val="22"/>
              </w:rPr>
              <w:t>Inkoo</w:t>
            </w:r>
          </w:p>
        </w:tc>
        <w:tc>
          <w:tcPr>
            <w:tcW w:w="1036" w:type="dxa"/>
            <w:vAlign w:val="bottom"/>
          </w:tcPr>
          <w:p w14:paraId="0110F927" w14:textId="090349A3" w:rsidR="005F686C" w:rsidRDefault="005F686C" w:rsidP="005F686C">
            <w:pPr>
              <w:pStyle w:val="BodyText"/>
              <w:spacing w:after="0"/>
              <w:ind w:left="0"/>
              <w:jc w:val="center"/>
            </w:pPr>
            <w:r>
              <w:rPr>
                <w:rFonts w:ascii="Calibri" w:hAnsi="Calibri" w:cs="Calibri"/>
                <w:color w:val="000000"/>
                <w:sz w:val="22"/>
              </w:rPr>
              <w:t>1</w:t>
            </w:r>
          </w:p>
        </w:tc>
        <w:tc>
          <w:tcPr>
            <w:tcW w:w="1075" w:type="dxa"/>
            <w:vAlign w:val="bottom"/>
          </w:tcPr>
          <w:p w14:paraId="0332EB5E" w14:textId="7395152F" w:rsidR="005F686C" w:rsidRDefault="005F686C" w:rsidP="005F686C">
            <w:pPr>
              <w:pStyle w:val="BodyText"/>
              <w:spacing w:after="0"/>
              <w:ind w:left="0"/>
              <w:jc w:val="center"/>
            </w:pPr>
            <w:r>
              <w:rPr>
                <w:rFonts w:ascii="Calibri" w:hAnsi="Calibri" w:cs="Calibri"/>
                <w:color w:val="000000"/>
                <w:sz w:val="22"/>
              </w:rPr>
              <w:t>1</w:t>
            </w:r>
          </w:p>
        </w:tc>
        <w:tc>
          <w:tcPr>
            <w:tcW w:w="1203" w:type="dxa"/>
            <w:vAlign w:val="bottom"/>
          </w:tcPr>
          <w:p w14:paraId="537C3058" w14:textId="63FDAF3A"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0 %</w:t>
            </w:r>
          </w:p>
        </w:tc>
        <w:tc>
          <w:tcPr>
            <w:tcW w:w="1214" w:type="dxa"/>
            <w:vAlign w:val="bottom"/>
          </w:tcPr>
          <w:p w14:paraId="5E5771F9" w14:textId="137D1050" w:rsidR="005F686C" w:rsidRDefault="005F686C" w:rsidP="005F686C">
            <w:pPr>
              <w:pStyle w:val="BodyText"/>
              <w:spacing w:after="0"/>
              <w:ind w:left="0"/>
              <w:jc w:val="center"/>
            </w:pPr>
            <w:r>
              <w:rPr>
                <w:rFonts w:ascii="Calibri" w:hAnsi="Calibri" w:cs="Calibri"/>
                <w:color w:val="000000"/>
                <w:sz w:val="22"/>
              </w:rPr>
              <w:t>2</w:t>
            </w:r>
          </w:p>
        </w:tc>
        <w:tc>
          <w:tcPr>
            <w:tcW w:w="1203" w:type="dxa"/>
            <w:vAlign w:val="bottom"/>
          </w:tcPr>
          <w:p w14:paraId="5BBC526B" w14:textId="322F14CC" w:rsidR="005F686C" w:rsidRDefault="005F686C" w:rsidP="005F686C">
            <w:pPr>
              <w:pStyle w:val="BodyText"/>
              <w:spacing w:after="0"/>
              <w:ind w:left="0"/>
              <w:jc w:val="center"/>
              <w:rPr>
                <w:rFonts w:ascii="Calibri" w:hAnsi="Calibri" w:cs="Calibri"/>
                <w:color w:val="000000"/>
                <w:sz w:val="22"/>
              </w:rPr>
            </w:pPr>
            <w:r>
              <w:rPr>
                <w:rFonts w:ascii="Calibri" w:hAnsi="Calibri" w:cs="Calibri"/>
                <w:color w:val="000000"/>
                <w:sz w:val="22"/>
              </w:rPr>
              <w:t>25 %</w:t>
            </w:r>
          </w:p>
        </w:tc>
      </w:tr>
    </w:tbl>
    <w:p w14:paraId="7131B751" w14:textId="1B5293D7" w:rsidR="00C1420D" w:rsidRDefault="00C1420D" w:rsidP="001E2223">
      <w:pPr>
        <w:pStyle w:val="BodyText"/>
        <w:ind w:left="0"/>
      </w:pPr>
    </w:p>
    <w:p w14:paraId="49FE6ADC" w14:textId="513C57DA" w:rsidR="00C1420D" w:rsidRDefault="00C1420D" w:rsidP="00C1420D">
      <w:pPr>
        <w:pStyle w:val="Heading2"/>
      </w:pPr>
      <w:bookmarkStart w:id="31" w:name="_Toc76110794"/>
      <w:r>
        <w:t>Valtakunnan taso</w:t>
      </w:r>
      <w:bookmarkEnd w:id="31"/>
    </w:p>
    <w:p w14:paraId="7D7A4233" w14:textId="40AA144D" w:rsidR="00C1420D" w:rsidRDefault="00C1420D" w:rsidP="00C1420D">
      <w:pPr>
        <w:pStyle w:val="Heading3"/>
      </w:pPr>
      <w:bookmarkStart w:id="32" w:name="_Toc76110795"/>
      <w:r>
        <w:t>Tehokkaan tiheyden arvot</w:t>
      </w:r>
      <w:bookmarkEnd w:id="32"/>
    </w:p>
    <w:p w14:paraId="1F349F25" w14:textId="30D23BE5" w:rsidR="003361DC" w:rsidRDefault="006E04B2" w:rsidP="00001460">
      <w:pPr>
        <w:pStyle w:val="BodyText"/>
      </w:pPr>
      <w:r>
        <w:t xml:space="preserve">Luvussa 4 määritelty mittari soveltuu tehokkaan tiheyden arviointiin karkeammalla aluejaolla myös koko Suomen </w:t>
      </w:r>
      <w:r w:rsidR="001D7DDD">
        <w:t>laajuisesti</w:t>
      </w:r>
      <w:r>
        <w:t>.</w:t>
      </w:r>
      <w:r w:rsidR="001D7DDD">
        <w:t xml:space="preserve"> Kuvassa 1</w:t>
      </w:r>
      <w:r w:rsidR="005029AD">
        <w:t>2</w:t>
      </w:r>
      <w:r w:rsidR="001D7DDD">
        <w:t xml:space="preserve"> on tehokas tiheys Suomessa 10 km x 10 km ruutualuejaossa. </w:t>
      </w:r>
      <w:r>
        <w:t xml:space="preserve"> </w:t>
      </w:r>
      <w:r w:rsidR="001D7DDD">
        <w:t>Laskelmasta on jätetty pois kunkin alueen sisäisen liikenteen vaikutus tehokkaaseen tiheyteen, koska liikennemallissa olevan verkon tarkkuustaso ei sovellu ruutujen sisäisten liikenteen arviointiin.</w:t>
      </w:r>
    </w:p>
    <w:p w14:paraId="51159756" w14:textId="35D0F723" w:rsidR="006E04B2" w:rsidRDefault="001D7DDD" w:rsidP="00001460">
      <w:pPr>
        <w:pStyle w:val="BodyText"/>
      </w:pPr>
      <w:r>
        <w:t>Kulkutapoina tarkasteluissa on henkilöautoliikenne ja joukkoliikenteen eri kulkutavat. Kävely ja pyöräliiken</w:t>
      </w:r>
      <w:r w:rsidR="003361DC">
        <w:t xml:space="preserve">nettä ei ole mukana käytetyssä kulkutavan </w:t>
      </w:r>
      <w:r w:rsidR="003361DC" w:rsidRPr="004B2F7F">
        <w:t>valintamallissa (</w:t>
      </w:r>
      <w:r w:rsidR="001E2223" w:rsidRPr="004B2F7F">
        <w:t>v</w:t>
      </w:r>
      <w:r w:rsidR="003361DC" w:rsidRPr="004B2F7F">
        <w:t>altakunnallinen liikenne-ennustemalli, työ</w:t>
      </w:r>
      <w:r w:rsidR="002B5732" w:rsidRPr="004B2F7F">
        <w:t xml:space="preserve">peräiset </w:t>
      </w:r>
      <w:r w:rsidR="003361DC" w:rsidRPr="004B2F7F">
        <w:t>matkat). Kävely ja pyöräliikenteen</w:t>
      </w:r>
      <w:r w:rsidRPr="004B2F7F">
        <w:t xml:space="preserve"> määrät ovat </w:t>
      </w:r>
      <w:r w:rsidR="003361DC" w:rsidRPr="004B2F7F">
        <w:t xml:space="preserve">kuitenkin </w:t>
      </w:r>
      <w:r w:rsidRPr="004B2F7F">
        <w:t>pieniä yli 10 km pitkillä työ</w:t>
      </w:r>
      <w:r w:rsidR="00A0446C" w:rsidRPr="004B2F7F">
        <w:t>peräisillä matkoilla</w:t>
      </w:r>
      <w:r w:rsidR="003361DC" w:rsidRPr="004B2F7F">
        <w:t>, jolloin</w:t>
      </w:r>
      <w:r w:rsidR="003361DC">
        <w:t xml:space="preserve"> niiden vaikutus tehokkaaseen tiheyteen on vähäinen.</w:t>
      </w:r>
    </w:p>
    <w:p w14:paraId="59B492EA" w14:textId="31AEC227" w:rsidR="003361DC" w:rsidRDefault="003361DC" w:rsidP="00001460">
      <w:pPr>
        <w:pStyle w:val="BodyText"/>
      </w:pPr>
      <w:r>
        <w:t xml:space="preserve">10 km ruutualuejaolla Helsingin keskustan tehokas tiheys on noin 250 ja muualla sitä pienempi. </w:t>
      </w:r>
      <w:r w:rsidR="00D35953">
        <w:t>Arvo on linjassa Helmet-aluejaolla laskettujen tulosten kanssa</w:t>
      </w:r>
      <w:r w:rsidR="003277AE">
        <w:t>,</w:t>
      </w:r>
      <w:r w:rsidR="00D35953">
        <w:t xml:space="preserve"> kun otetaan huomioon</w:t>
      </w:r>
      <w:r w:rsidR="003277AE">
        <w:t>,</w:t>
      </w:r>
      <w:r w:rsidR="00D35953">
        <w:t xml:space="preserve"> että ruudun sisäistä tehokasta tiheyttä ei ole mukana, vaan ainoastaan pitempimatkaisen liikenteen kasautumisvaikutukset.</w:t>
      </w:r>
    </w:p>
    <w:p w14:paraId="119C4A76" w14:textId="77777777" w:rsidR="008C04C8" w:rsidRDefault="008C04C8" w:rsidP="008C04C8">
      <w:pPr>
        <w:pStyle w:val="Caption"/>
      </w:pPr>
      <w:r>
        <w:lastRenderedPageBreak/>
        <w:t xml:space="preserve">Kuva </w:t>
      </w:r>
      <w:r w:rsidR="0040610B">
        <w:fldChar w:fldCharType="begin"/>
      </w:r>
      <w:r w:rsidR="0040610B">
        <w:instrText xml:space="preserve"> SEQ Kuva \* ARABIC </w:instrText>
      </w:r>
      <w:r w:rsidR="0040610B">
        <w:fldChar w:fldCharType="separate"/>
      </w:r>
      <w:r>
        <w:rPr>
          <w:noProof/>
        </w:rPr>
        <w:t>12</w:t>
      </w:r>
      <w:r w:rsidR="0040610B">
        <w:rPr>
          <w:noProof/>
        </w:rPr>
        <w:fldChar w:fldCharType="end"/>
      </w:r>
      <w:r>
        <w:t>. Tehokas tiheys Suomessa 2016 pitkillä työperäisillä matkoilla (10 km tai pitempi).</w:t>
      </w:r>
    </w:p>
    <w:p w14:paraId="27EA4D82" w14:textId="77777777" w:rsidR="003E14C0" w:rsidRDefault="003E14C0" w:rsidP="003E14C0">
      <w:pPr>
        <w:pStyle w:val="BodyText"/>
      </w:pPr>
      <w:r>
        <w:rPr>
          <w:noProof/>
          <w:lang w:eastAsia="fi-FI"/>
        </w:rPr>
        <w:drawing>
          <wp:inline distT="0" distB="0" distL="0" distR="0" wp14:anchorId="0330E269" wp14:editId="1AC79B0D">
            <wp:extent cx="3818535" cy="5399752"/>
            <wp:effectExtent l="0" t="0" r="0" b="0"/>
            <wp:docPr id="27" name="Kuva 27" descr="Kuvassa esitetään tehokkaan tiheyden lukuarvoa osoittava väri koko Suomen kartalla 10 kilometrin ruudui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uva 27" descr="Kuvassa esitetään tehokkaan tiheyden lukuarvoa osoittava väri koko Suomen kartalla 10 kilometrin ruuduissa."/>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36381" cy="5424988"/>
                    </a:xfrm>
                    <a:prstGeom prst="rect">
                      <a:avLst/>
                    </a:prstGeom>
                  </pic:spPr>
                </pic:pic>
              </a:graphicData>
            </a:graphic>
          </wp:inline>
        </w:drawing>
      </w:r>
    </w:p>
    <w:p w14:paraId="1F3E4AB8" w14:textId="44FD9189" w:rsidR="00C1420D" w:rsidRDefault="00C1420D" w:rsidP="00C1420D">
      <w:pPr>
        <w:pStyle w:val="Heading3"/>
      </w:pPr>
      <w:bookmarkStart w:id="33" w:name="_Toc76110796"/>
      <w:r>
        <w:t>Tehokkaan tiheyden muutos 2016–2030</w:t>
      </w:r>
      <w:bookmarkEnd w:id="33"/>
    </w:p>
    <w:p w14:paraId="2B50B81F" w14:textId="421C1D2F" w:rsidR="00102743" w:rsidRDefault="00102743" w:rsidP="00001460">
      <w:pPr>
        <w:pStyle w:val="BodyText"/>
      </w:pPr>
      <w:r>
        <w:t>Kuvassa 1</w:t>
      </w:r>
      <w:r w:rsidR="000B6E1E">
        <w:t>4</w:t>
      </w:r>
      <w:r>
        <w:t xml:space="preserve"> on tehokkaan tiheyden muutos vuosien 2016 ja 2030 välillä valtakunnan tasolla. Vuoden 2030 skenaariona on käytetty ns. MAX skenaariota, jossa on toteutettu tunnin junat Turkuun ja Tampereella, sekä </w:t>
      </w:r>
      <w:r w:rsidRPr="00102743">
        <w:t>Itä-Suomen junayhteyksien kehittäminen vaihtoehdon 3 mukaisesti (mm. uusi ratayhteys lentorata-Porvoo-Kotka-Luumäki)</w:t>
      </w:r>
      <w:r>
        <w:t>.</w:t>
      </w:r>
    </w:p>
    <w:p w14:paraId="702A13C2" w14:textId="628EF871" w:rsidR="00102743" w:rsidRDefault="00102743" w:rsidP="00001460">
      <w:pPr>
        <w:pStyle w:val="BodyText"/>
      </w:pPr>
      <w:r>
        <w:t>Kuvasta nähdään, että tehokas tiheys paranee erityisesti pääkaupunkiseudulla ja rataverkon solmukohdissa.</w:t>
      </w:r>
      <w:r w:rsidR="00654FE2">
        <w:t xml:space="preserve"> Valtakunnan tason liikennemallin verkkokuvauksessa kaupunkien sisäinen liikenne on kuvattu karkeammalla tasolla kuin Helsingin seudun Helmet-mallissa.</w:t>
      </w:r>
      <w:r>
        <w:t xml:space="preserve"> Skenaariossa 2030 MAX ei ole mukana tieliikenteen hinnoittelua, joten sen tuloksia ei pidä suoraan vertailla 2030 MAL skenaarioon.</w:t>
      </w:r>
      <w:r w:rsidR="00654FE2">
        <w:t xml:space="preserve"> </w:t>
      </w:r>
    </w:p>
    <w:p w14:paraId="40047F92" w14:textId="77777777" w:rsidR="008C04C8" w:rsidRDefault="008C04C8">
      <w:pPr>
        <w:rPr>
          <w:i/>
          <w:iCs/>
          <w:sz w:val="18"/>
          <w:szCs w:val="18"/>
        </w:rPr>
      </w:pPr>
      <w:r>
        <w:br w:type="page"/>
      </w:r>
    </w:p>
    <w:p w14:paraId="677A2DEF" w14:textId="55412A66" w:rsidR="008C04C8" w:rsidRDefault="008C04C8" w:rsidP="008C04C8">
      <w:pPr>
        <w:pStyle w:val="Caption"/>
      </w:pPr>
      <w:r>
        <w:lastRenderedPageBreak/>
        <w:t xml:space="preserve">Kuva </w:t>
      </w:r>
      <w:r w:rsidR="0040610B">
        <w:fldChar w:fldCharType="begin"/>
      </w:r>
      <w:r w:rsidR="0040610B">
        <w:instrText xml:space="preserve"> SEQ Kuva \* ARABIC </w:instrText>
      </w:r>
      <w:r w:rsidR="0040610B">
        <w:fldChar w:fldCharType="separate"/>
      </w:r>
      <w:r>
        <w:rPr>
          <w:noProof/>
        </w:rPr>
        <w:t>13</w:t>
      </w:r>
      <w:r w:rsidR="0040610B">
        <w:rPr>
          <w:noProof/>
        </w:rPr>
        <w:fldChar w:fldCharType="end"/>
      </w:r>
      <w:r>
        <w:t>. Tehokkaan tiheyden muutos vuodesta 2016 vuoteen 2030 yli 10 kilometrin työperäisillä matkoilla MAX-skenaariossa.</w:t>
      </w:r>
    </w:p>
    <w:p w14:paraId="2938FD8E" w14:textId="2445473B" w:rsidR="0067379C" w:rsidRDefault="0067379C" w:rsidP="0067379C">
      <w:pPr>
        <w:pStyle w:val="BodyText"/>
      </w:pPr>
      <w:r>
        <w:rPr>
          <w:noProof/>
          <w:lang w:eastAsia="fi-FI"/>
        </w:rPr>
        <w:drawing>
          <wp:inline distT="0" distB="0" distL="0" distR="0" wp14:anchorId="551155E9" wp14:editId="18A4E37E">
            <wp:extent cx="3828078" cy="5413248"/>
            <wp:effectExtent l="0" t="0" r="1270" b="0"/>
            <wp:docPr id="28" name="Kuva 28" descr="Kuvassa esitetään tehokkaan tiheyden muutosta osoittava väri koko Suomen kartalla 10 kilometrin ruudui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uva 28" descr="Kuvassa esitetään tehokkaan tiheyden muutosta osoittava väri koko Suomen kartalla 10 kilometrin ruuduissa."/>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41359" cy="5432029"/>
                    </a:xfrm>
                    <a:prstGeom prst="rect">
                      <a:avLst/>
                    </a:prstGeom>
                  </pic:spPr>
                </pic:pic>
              </a:graphicData>
            </a:graphic>
          </wp:inline>
        </w:drawing>
      </w:r>
    </w:p>
    <w:p w14:paraId="50A954E3" w14:textId="77777777" w:rsidR="004B2F7F" w:rsidRDefault="004B2F7F">
      <w:pPr>
        <w:rPr>
          <w:rFonts w:asciiTheme="majorHAnsi" w:eastAsiaTheme="majorEastAsia" w:hAnsiTheme="majorHAnsi" w:cstheme="majorHAnsi"/>
          <w:b/>
          <w:bCs/>
          <w:sz w:val="28"/>
          <w:szCs w:val="28"/>
        </w:rPr>
      </w:pPr>
      <w:r>
        <w:br w:type="page"/>
      </w:r>
    </w:p>
    <w:p w14:paraId="05E86858" w14:textId="633A5A5C" w:rsidR="00F43ED3" w:rsidRDefault="00F43ED3" w:rsidP="00F43ED3">
      <w:pPr>
        <w:pStyle w:val="Heading1"/>
      </w:pPr>
      <w:bookmarkStart w:id="34" w:name="_Toc76110797"/>
      <w:r>
        <w:lastRenderedPageBreak/>
        <w:t>Joustotutkimuksen suunnitelma</w:t>
      </w:r>
      <w:bookmarkEnd w:id="34"/>
    </w:p>
    <w:p w14:paraId="6F5D9B2E" w14:textId="19E5DC0D" w:rsidR="003E14C0" w:rsidRDefault="003E14C0" w:rsidP="003E14C0">
      <w:pPr>
        <w:pStyle w:val="Heading2"/>
        <w:rPr>
          <w:noProof/>
        </w:rPr>
      </w:pPr>
      <w:bookmarkStart w:id="35" w:name="_Toc76110798"/>
      <w:r>
        <w:rPr>
          <w:noProof/>
        </w:rPr>
        <w:t>Joustotutkimuksen tavoite</w:t>
      </w:r>
      <w:bookmarkEnd w:id="35"/>
    </w:p>
    <w:p w14:paraId="3721627C" w14:textId="0B2A5DA9" w:rsidR="003E14C0" w:rsidRDefault="00375E60" w:rsidP="004B2F7F">
      <w:pPr>
        <w:pStyle w:val="BodyText"/>
        <w:rPr>
          <w:noProof/>
        </w:rPr>
      </w:pPr>
      <w:r>
        <w:rPr>
          <w:noProof/>
        </w:rPr>
        <w:t xml:space="preserve">Joustotutkimuksen tavoitteena on määrittää </w:t>
      </w:r>
      <w:r w:rsidR="003E14C0">
        <w:rPr>
          <w:noProof/>
        </w:rPr>
        <w:t>tuottavuuteen vaikuttavan tehokkaan tiheyden vaimenemisparametri</w:t>
      </w:r>
      <w:r>
        <w:rPr>
          <w:noProof/>
        </w:rPr>
        <w:t xml:space="preserve"> ja</w:t>
      </w:r>
      <w:r w:rsidR="003E14C0">
        <w:rPr>
          <w:noProof/>
        </w:rPr>
        <w:t xml:space="preserve"> toimialakohtaiset kertoimet</w:t>
      </w:r>
      <w:r>
        <w:rPr>
          <w:noProof/>
        </w:rPr>
        <w:t xml:space="preserve"> sekä tehokkaan </w:t>
      </w:r>
      <w:r w:rsidRPr="00375E60">
        <w:rPr>
          <w:noProof/>
        </w:rPr>
        <w:t>tiheyden ja tuottavuuden välinen jousto toimialoittain ja alueittain</w:t>
      </w:r>
      <w:r w:rsidR="008235BD" w:rsidRPr="00375E60">
        <w:rPr>
          <w:noProof/>
        </w:rPr>
        <w:t>.</w:t>
      </w:r>
      <w:r w:rsidR="00FD576E" w:rsidRPr="00375E60">
        <w:rPr>
          <w:noProof/>
        </w:rPr>
        <w:t xml:space="preserve"> </w:t>
      </w:r>
      <w:r w:rsidR="008235BD" w:rsidRPr="00375E60">
        <w:rPr>
          <w:noProof/>
        </w:rPr>
        <w:t>L</w:t>
      </w:r>
      <w:r w:rsidR="00FD576E" w:rsidRPr="00375E60">
        <w:rPr>
          <w:noProof/>
        </w:rPr>
        <w:t>ähtökohtana voidaan käyttää tässä työssä laskettuja parametreja, mutta niitä voidaan tarkentaa esimerkiksi herkkyystarkasteluiden avulla</w:t>
      </w:r>
      <w:r w:rsidR="008235BD" w:rsidRPr="00375E60">
        <w:rPr>
          <w:noProof/>
        </w:rPr>
        <w:t>, mikäli joustoparametrien ja tehokkaan tiheyden parametrien yhtäaikainen esimointi ei onnistu. Tavoitteena on että tehokkaan tiheyden paramatrivalinnat tuovat taloudellisen tuottavuuden ja tehokkaan tiheyden välisen yhteyden mah</w:t>
      </w:r>
      <w:r w:rsidRPr="00375E60">
        <w:rPr>
          <w:noProof/>
        </w:rPr>
        <w:t>d</w:t>
      </w:r>
      <w:r w:rsidR="008235BD" w:rsidRPr="00375E60">
        <w:rPr>
          <w:noProof/>
        </w:rPr>
        <w:t>ollisimman hyvin esiin.</w:t>
      </w:r>
      <w:r w:rsidRPr="00375E60">
        <w:rPr>
          <w:noProof/>
        </w:rPr>
        <w:t xml:space="preserve"> Joustotutkimus olisi perusteltua tehdä Helsingin seudun lisäksi esimerkiksi Turun kaupunkiseudulta, jotta voidaan arvioida parametrien mahdollisia aluee</w:t>
      </w:r>
      <w:r w:rsidR="002B5732">
        <w:rPr>
          <w:noProof/>
        </w:rPr>
        <w:t>l</w:t>
      </w:r>
      <w:r w:rsidRPr="00375E60">
        <w:rPr>
          <w:noProof/>
        </w:rPr>
        <w:t>lisia eroja. Kaupunkiseutujen lisäksi tulisi tutkia valtakunnallisia työ</w:t>
      </w:r>
      <w:r w:rsidR="002B5732">
        <w:rPr>
          <w:noProof/>
        </w:rPr>
        <w:t xml:space="preserve">peräisiä </w:t>
      </w:r>
      <w:r w:rsidRPr="00375E60">
        <w:rPr>
          <w:noProof/>
        </w:rPr>
        <w:t>matkoja sen selvittämiseksi, missä määrin ja onko kasautumisilmiö on olemassa pitkillä etäisyyksillä.</w:t>
      </w:r>
    </w:p>
    <w:p w14:paraId="5C250041" w14:textId="2073C64A" w:rsidR="003E14C0" w:rsidRDefault="003E14C0" w:rsidP="003E14C0">
      <w:pPr>
        <w:pStyle w:val="Heading2"/>
        <w:rPr>
          <w:noProof/>
        </w:rPr>
      </w:pPr>
      <w:bookmarkStart w:id="36" w:name="_Toc76110799"/>
      <w:r>
        <w:rPr>
          <w:noProof/>
        </w:rPr>
        <w:t>Joustotutkimuksen sisällöllisiä kysymyksiä</w:t>
      </w:r>
      <w:bookmarkEnd w:id="36"/>
    </w:p>
    <w:p w14:paraId="29F785C6" w14:textId="2F8FB143" w:rsidR="003E14C0" w:rsidRDefault="003E14C0" w:rsidP="003E14C0">
      <w:pPr>
        <w:pStyle w:val="Heading3"/>
        <w:rPr>
          <w:noProof/>
        </w:rPr>
      </w:pPr>
      <w:bookmarkStart w:id="37" w:name="_Toc76110800"/>
      <w:r>
        <w:rPr>
          <w:noProof/>
        </w:rPr>
        <w:t>Estimointimenetelmä</w:t>
      </w:r>
      <w:bookmarkEnd w:id="37"/>
    </w:p>
    <w:p w14:paraId="466D99FB" w14:textId="148AC014" w:rsidR="00BD1D15" w:rsidRDefault="00BD1D15" w:rsidP="00BD1D15">
      <w:pPr>
        <w:pStyle w:val="BodyText"/>
      </w:pPr>
      <w:r>
        <w:rPr>
          <w:noProof/>
        </w:rPr>
        <w:t>Graham ja Gibbons (2019)</w:t>
      </w:r>
      <w:r>
        <w:t xml:space="preserve"> käyvät läpi tämänhetkisen näkemyksen siitä, miten kasautumisjousto tulisi estimoida. Heidän johtopäätöksensä on se, että suositeltava tuottavuuskäsite kokonaistuottavuus ja estimointi tulisi tehdä toimipaikkatason aineistoilla.  Käytännössä tämä tarkoittaa seuraavan yhtälön estimointia</w:t>
      </w:r>
    </w:p>
    <w:p w14:paraId="75B8FA90" w14:textId="77777777" w:rsidR="00BD1D15" w:rsidRDefault="00BD1D15" w:rsidP="00BD1D15">
      <w:pPr>
        <w:pStyle w:val="BodyText"/>
        <w:rPr>
          <w:rFonts w:eastAsiaTheme="minorEastAsia"/>
        </w:rPr>
      </w:pPr>
      <w:r>
        <w:rPr>
          <w:position w:val="-4"/>
        </w:rPr>
        <w:object w:dxaOrig="180" w:dyaOrig="270" w14:anchorId="0CCA42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5pt;height:13.5pt" o:ole="">
            <v:imagedata r:id="rId29" o:title=""/>
          </v:shape>
          <o:OLEObject Type="Embed" ProgID="Equation.DSMT4" ShapeID="_x0000_i1025" DrawAspect="Content" ObjectID="_1689668610" r:id="rId30"/>
        </w:object>
      </w:r>
      <m:oMath>
        <m:sSub>
          <m:sSubPr>
            <m:ctrlPr>
              <w:rPr>
                <w:rFonts w:ascii="Cambria Math" w:hAnsi="Cambria Math" w:cstheme="minorBidi"/>
                <w:sz w:val="22"/>
              </w:rPr>
            </m:ctrlPr>
          </m:sSubPr>
          <m:e>
            <m:r>
              <w:rPr>
                <w:rFonts w:ascii="Cambria Math" w:hAnsi="Cambria Math"/>
              </w:rPr>
              <m:t>y</m:t>
            </m:r>
          </m:e>
          <m:sub>
            <m:r>
              <w:rPr>
                <w:rFonts w:ascii="Cambria Math" w:hAnsi="Cambria Math"/>
              </w:rPr>
              <m:t>it</m:t>
            </m:r>
          </m:sub>
        </m:sSub>
        <m:r>
          <m:rPr>
            <m:sty m:val="p"/>
          </m:rPr>
          <w:rPr>
            <w:rFonts w:ascii="Cambria Math" w:hAnsi="Cambria Math"/>
          </w:rPr>
          <m:t>=</m:t>
        </m:r>
        <m:r>
          <w:rPr>
            <w:rFonts w:ascii="Cambria Math" w:hAnsi="Cambria Math"/>
          </w:rPr>
          <m:t>a</m:t>
        </m:r>
        <m:r>
          <m:rPr>
            <m:sty m:val="p"/>
          </m:rPr>
          <w:rPr>
            <w:rFonts w:ascii="Cambria Math" w:hAnsi="Cambria Math"/>
          </w:rPr>
          <m:t>+</m:t>
        </m:r>
        <m:sSub>
          <m:sSubPr>
            <m:ctrlPr>
              <w:rPr>
                <w:rFonts w:ascii="Cambria Math" w:hAnsi="Cambria Math" w:cstheme="minorBidi"/>
                <w:b/>
                <w:bCs/>
                <w:sz w:val="22"/>
              </w:rPr>
            </m:ctrlPr>
          </m:sSubPr>
          <m:e>
            <m:r>
              <m:rPr>
                <m:sty m:val="bi"/>
              </m:rPr>
              <w:rPr>
                <w:rFonts w:ascii="Cambria Math" w:hAnsi="Cambria Math"/>
              </w:rPr>
              <m:t>w</m:t>
            </m:r>
          </m:e>
          <m:sub>
            <m:r>
              <m:rPr>
                <m:sty m:val="bi"/>
              </m:rPr>
              <w:rPr>
                <w:rFonts w:ascii="Cambria Math" w:hAnsi="Cambria Math"/>
              </w:rPr>
              <m:t>it</m:t>
            </m:r>
          </m:sub>
        </m:sSub>
        <m:r>
          <m:rPr>
            <m:sty m:val="bi"/>
          </m:rPr>
          <w:rPr>
            <w:rFonts w:ascii="Cambria Math" w:hAnsi="Cambria Math"/>
          </w:rPr>
          <m:t>β</m:t>
        </m:r>
        <m:r>
          <m:rPr>
            <m:sty m:val="b"/>
          </m:rPr>
          <w:rPr>
            <w:rFonts w:ascii="Cambria Math" w:hAnsi="Cambria Math"/>
          </w:rPr>
          <m:t>+</m:t>
        </m:r>
        <m:sSub>
          <m:sSubPr>
            <m:ctrlPr>
              <w:rPr>
                <w:rFonts w:ascii="Cambria Math" w:hAnsi="Cambria Math" w:cstheme="minorBidi"/>
                <w:b/>
                <w:bCs/>
                <w:sz w:val="22"/>
              </w:rPr>
            </m:ctrlPr>
          </m:sSubPr>
          <m:e>
            <m:r>
              <m:rPr>
                <m:sty m:val="bi"/>
              </m:rPr>
              <w:rPr>
                <w:rFonts w:ascii="Cambria Math" w:hAnsi="Cambria Math"/>
              </w:rPr>
              <m:t>x</m:t>
            </m:r>
          </m:e>
          <m:sub>
            <m:r>
              <m:rPr>
                <m:sty m:val="bi"/>
              </m:rPr>
              <w:rPr>
                <w:rFonts w:ascii="Cambria Math" w:hAnsi="Cambria Math"/>
              </w:rPr>
              <m:t>it</m:t>
            </m:r>
          </m:sub>
        </m:sSub>
        <m:r>
          <m:rPr>
            <m:sty m:val="bi"/>
          </m:rPr>
          <w:rPr>
            <w:rFonts w:ascii="Cambria Math" w:hAnsi="Cambria Math"/>
          </w:rPr>
          <m:t>γ</m:t>
        </m:r>
        <m:r>
          <m:rPr>
            <m:sty m:val="b"/>
          </m:rPr>
          <w:rPr>
            <w:rFonts w:ascii="Cambria Math" w:hAnsi="Cambria Math"/>
          </w:rPr>
          <m:t>+</m:t>
        </m:r>
        <m:sSub>
          <m:sSubPr>
            <m:ctrlPr>
              <w:rPr>
                <w:rFonts w:ascii="Cambria Math" w:hAnsi="Cambria Math" w:cstheme="minorBidi"/>
                <w:b/>
                <w:bCs/>
                <w:sz w:val="22"/>
              </w:rPr>
            </m:ctrlPr>
          </m:sSubPr>
          <m:e>
            <m:r>
              <w:rPr>
                <w:rFonts w:ascii="Cambria Math" w:hAnsi="Cambria Math"/>
              </w:rPr>
              <m:t>ω</m:t>
            </m:r>
          </m:e>
          <m:sub>
            <m:r>
              <w:rPr>
                <w:rFonts w:ascii="Cambria Math" w:hAnsi="Cambria Math"/>
              </w:rPr>
              <m:t>it</m:t>
            </m:r>
          </m:sub>
        </m:sSub>
        <m:r>
          <m:rPr>
            <m:sty m:val="b"/>
          </m:rPr>
          <w:rPr>
            <w:rFonts w:ascii="Cambria Math" w:hAnsi="Cambria Math"/>
          </w:rPr>
          <m:t>+</m:t>
        </m:r>
        <m:sSub>
          <m:sSubPr>
            <m:ctrlPr>
              <w:rPr>
                <w:rFonts w:ascii="Cambria Math" w:hAnsi="Cambria Math" w:cstheme="minorBidi"/>
                <w:sz w:val="22"/>
              </w:rPr>
            </m:ctrlPr>
          </m:sSubPr>
          <m:e>
            <m:r>
              <w:rPr>
                <w:rFonts w:ascii="Cambria Math" w:hAnsi="Cambria Math"/>
              </w:rPr>
              <m:t>ε</m:t>
            </m:r>
          </m:e>
          <m:sub>
            <m:r>
              <w:rPr>
                <w:rFonts w:ascii="Cambria Math" w:hAnsi="Cambria Math"/>
              </w:rPr>
              <m:t>it</m:t>
            </m:r>
          </m:sub>
        </m:sSub>
      </m:oMath>
    </w:p>
    <w:p w14:paraId="547151FC" w14:textId="77777777" w:rsidR="00BD1D15" w:rsidRDefault="00BD1D15" w:rsidP="00BD1D15">
      <w:pPr>
        <w:pStyle w:val="BodyText"/>
      </w:pPr>
      <w:r>
        <w:t xml:space="preserve">missä </w:t>
      </w:r>
      <m:oMath>
        <m:sSub>
          <m:sSubPr>
            <m:ctrlPr>
              <w:rPr>
                <w:rFonts w:ascii="Cambria Math" w:hAnsi="Cambria Math" w:cstheme="minorBidi"/>
                <w:i/>
                <w:sz w:val="22"/>
              </w:rPr>
            </m:ctrlPr>
          </m:sSubPr>
          <m:e>
            <m:r>
              <w:rPr>
                <w:rFonts w:ascii="Cambria Math" w:hAnsi="Cambria Math"/>
              </w:rPr>
              <m:t>y</m:t>
            </m:r>
          </m:e>
          <m:sub>
            <m:r>
              <w:rPr>
                <w:rFonts w:ascii="Cambria Math" w:hAnsi="Cambria Math"/>
              </w:rPr>
              <m:t>it</m:t>
            </m:r>
          </m:sub>
        </m:sSub>
      </m:oMath>
      <w:r>
        <w:t xml:space="preserve"> on toimipaikan </w:t>
      </w:r>
      <w:r>
        <w:rPr>
          <w:i/>
          <w:iCs/>
        </w:rPr>
        <w:t>i</w:t>
      </w:r>
      <w:r>
        <w:t xml:space="preserve"> arvonlisäyksen logaritmi ajanhetkellä </w:t>
      </w:r>
      <w:r>
        <w:rPr>
          <w:i/>
          <w:iCs/>
        </w:rPr>
        <w:t>t</w:t>
      </w:r>
      <w:r>
        <w:t xml:space="preserve">, </w:t>
      </w:r>
      <m:oMath>
        <m:sSub>
          <m:sSubPr>
            <m:ctrlPr>
              <w:rPr>
                <w:rFonts w:ascii="Cambria Math" w:hAnsi="Cambria Math" w:cstheme="minorBidi"/>
                <w:b/>
                <w:bCs/>
                <w:i/>
                <w:sz w:val="22"/>
              </w:rPr>
            </m:ctrlPr>
          </m:sSubPr>
          <m:e>
            <m:r>
              <m:rPr>
                <m:sty m:val="bi"/>
              </m:rPr>
              <w:rPr>
                <w:rFonts w:ascii="Cambria Math" w:hAnsi="Cambria Math"/>
              </w:rPr>
              <m:t>w</m:t>
            </m:r>
          </m:e>
          <m:sub>
            <m:r>
              <m:rPr>
                <m:sty m:val="bi"/>
              </m:rPr>
              <w:rPr>
                <w:rFonts w:ascii="Cambria Math" w:hAnsi="Cambria Math"/>
              </w:rPr>
              <m:t>it</m:t>
            </m:r>
          </m:sub>
        </m:sSub>
      </m:oMath>
      <w:r>
        <w:rPr>
          <w:b/>
          <w:bCs/>
        </w:rPr>
        <w:t xml:space="preserve"> </w:t>
      </w:r>
      <w:r>
        <w:t xml:space="preserve">on logaritmisten vapaiden muuttujien vektori (tyypillisesti työvoima) ja </w:t>
      </w:r>
      <m:oMath>
        <m:sSub>
          <m:sSubPr>
            <m:ctrlPr>
              <w:rPr>
                <w:rFonts w:ascii="Cambria Math" w:hAnsi="Cambria Math" w:cstheme="minorBidi"/>
                <w:b/>
                <w:bCs/>
                <w:i/>
                <w:sz w:val="22"/>
              </w:rPr>
            </m:ctrlPr>
          </m:sSubPr>
          <m:e>
            <m:r>
              <m:rPr>
                <m:sty m:val="bi"/>
              </m:rPr>
              <w:rPr>
                <w:rFonts w:ascii="Cambria Math" w:hAnsi="Cambria Math"/>
              </w:rPr>
              <m:t>x</m:t>
            </m:r>
          </m:e>
          <m:sub>
            <m:r>
              <m:rPr>
                <m:sty m:val="bi"/>
              </m:rPr>
              <w:rPr>
                <w:rFonts w:ascii="Cambria Math" w:hAnsi="Cambria Math"/>
              </w:rPr>
              <m:t>it</m:t>
            </m:r>
          </m:sub>
        </m:sSub>
      </m:oMath>
      <w:r>
        <w:rPr>
          <w:b/>
          <w:bCs/>
        </w:rPr>
        <w:t xml:space="preserve"> </w:t>
      </w:r>
      <w:r>
        <w:t xml:space="preserve">on logaritmisten tilamuuttujien vektori (tyypillisesti pääoma, tässä yhteydessä myös tehokas tiheys), </w:t>
      </w:r>
      <m:oMath>
        <m:sSub>
          <m:sSubPr>
            <m:ctrlPr>
              <w:rPr>
                <w:rFonts w:ascii="Cambria Math" w:hAnsi="Cambria Math" w:cstheme="minorBidi"/>
                <w:b/>
                <w:bCs/>
                <w:i/>
                <w:sz w:val="22"/>
              </w:rPr>
            </m:ctrlPr>
          </m:sSubPr>
          <m:e>
            <m:r>
              <w:rPr>
                <w:rFonts w:ascii="Cambria Math" w:hAnsi="Cambria Math"/>
              </w:rPr>
              <m:t>ω</m:t>
            </m:r>
          </m:e>
          <m:sub>
            <m:r>
              <w:rPr>
                <w:rFonts w:ascii="Cambria Math" w:hAnsi="Cambria Math"/>
              </w:rPr>
              <m:t>it</m:t>
            </m:r>
          </m:sub>
        </m:sSub>
      </m:oMath>
      <w:r>
        <w:rPr>
          <w:b/>
          <w:bCs/>
        </w:rPr>
        <w:t xml:space="preserve"> </w:t>
      </w:r>
      <w:r>
        <w:t xml:space="preserve">on tuottavuus ja </w:t>
      </w:r>
      <m:oMath>
        <m:sSub>
          <m:sSubPr>
            <m:ctrlPr>
              <w:rPr>
                <w:rFonts w:ascii="Cambria Math" w:hAnsi="Cambria Math" w:cstheme="minorBidi"/>
                <w:i/>
                <w:sz w:val="22"/>
              </w:rPr>
            </m:ctrlPr>
          </m:sSubPr>
          <m:e>
            <m:r>
              <w:rPr>
                <w:rFonts w:ascii="Cambria Math" w:hAnsi="Cambria Math"/>
              </w:rPr>
              <m:t>ε</m:t>
            </m:r>
          </m:e>
          <m:sub>
            <m:r>
              <w:rPr>
                <w:rFonts w:ascii="Cambria Math" w:hAnsi="Cambria Math"/>
              </w:rPr>
              <m:t>it</m:t>
            </m:r>
          </m:sub>
        </m:sSub>
      </m:oMath>
      <w:r>
        <w:t xml:space="preserve"> on virhetermi. Kasautumisjousto on tässä vektorin </w:t>
      </w:r>
      <m:oMath>
        <m:r>
          <w:rPr>
            <w:rFonts w:ascii="Cambria Math" w:hAnsi="Cambria Math"/>
          </w:rPr>
          <m:t>γ</m:t>
        </m:r>
      </m:oMath>
      <w:r>
        <w:t xml:space="preserve"> yksi elementti. </w:t>
      </w:r>
    </w:p>
    <w:p w14:paraId="64AF0857" w14:textId="77777777" w:rsidR="00BD1D15" w:rsidRDefault="00BD1D15" w:rsidP="00BD1D15">
      <w:pPr>
        <w:pStyle w:val="BodyText"/>
      </w:pPr>
      <w:r>
        <w:t xml:space="preserve">Yhtälön estimoinnissa on monia haasteita. Ongelmat juontavat juurensa siitä, että tuottavuus </w:t>
      </w:r>
      <m:oMath>
        <m:sSub>
          <m:sSubPr>
            <m:ctrlPr>
              <w:rPr>
                <w:rFonts w:ascii="Cambria Math" w:hAnsi="Cambria Math" w:cstheme="minorBidi"/>
                <w:b/>
                <w:bCs/>
                <w:i/>
                <w:sz w:val="22"/>
              </w:rPr>
            </m:ctrlPr>
          </m:sSubPr>
          <m:e>
            <m:r>
              <w:rPr>
                <w:rFonts w:ascii="Cambria Math" w:hAnsi="Cambria Math"/>
              </w:rPr>
              <m:t>ω</m:t>
            </m:r>
          </m:e>
          <m:sub>
            <m:r>
              <w:rPr>
                <w:rFonts w:ascii="Cambria Math" w:hAnsi="Cambria Math"/>
              </w:rPr>
              <m:t>it</m:t>
            </m:r>
          </m:sub>
        </m:sSub>
      </m:oMath>
      <w:r>
        <w:rPr>
          <w:b/>
          <w:bCs/>
        </w:rPr>
        <w:t xml:space="preserve"> </w:t>
      </w:r>
      <w:r>
        <w:t xml:space="preserve">on havaitsematon, mutta se vaikuttaa vapaiden muuttujien </w:t>
      </w:r>
      <m:oMath>
        <m:sSub>
          <m:sSubPr>
            <m:ctrlPr>
              <w:rPr>
                <w:rFonts w:ascii="Cambria Math" w:hAnsi="Cambria Math" w:cstheme="minorBidi"/>
                <w:b/>
                <w:bCs/>
                <w:i/>
                <w:sz w:val="22"/>
              </w:rPr>
            </m:ctrlPr>
          </m:sSubPr>
          <m:e>
            <m:r>
              <m:rPr>
                <m:sty m:val="bi"/>
              </m:rPr>
              <w:rPr>
                <w:rFonts w:ascii="Cambria Math" w:hAnsi="Cambria Math"/>
              </w:rPr>
              <m:t>w</m:t>
            </m:r>
          </m:e>
          <m:sub>
            <m:r>
              <m:rPr>
                <m:sty m:val="bi"/>
              </m:rPr>
              <w:rPr>
                <w:rFonts w:ascii="Cambria Math" w:hAnsi="Cambria Math"/>
              </w:rPr>
              <m:t>it</m:t>
            </m:r>
          </m:sub>
        </m:sSub>
      </m:oMath>
      <w:r>
        <w:t xml:space="preserve"> tasoon ja siitä, että tehokas tiheys voi myös vaikuttaa havaitsemattomaan tuottavuuteen. Näiden ongelmien ratkaisemiseksi on kehitetty useita estimointimenetelmiä </w:t>
      </w:r>
      <w:r>
        <w:rPr>
          <w:noProof/>
        </w:rPr>
        <w:t>(Levinsohn ja Petrin, 2003; Wooldridge, 2009; Ackerberg ym., 2015; Rovigatti ja Mollisi, 2018)</w:t>
      </w:r>
      <w:r>
        <w:t xml:space="preserve">. Nämä ns. kontrollifunktiomenetelmät ovat tällä hetkellä edistyneimpiä tuotantofunktioestimointimenetelmiä ja esimerkiksi </w:t>
      </w:r>
      <w:r>
        <w:rPr>
          <w:noProof/>
        </w:rPr>
        <w:t>Graham ym. (2010)</w:t>
      </w:r>
      <w:r>
        <w:t xml:space="preserve"> käyttävät niitä Iso-Britanniaa koskevassa arviointityössään. </w:t>
      </w:r>
    </w:p>
    <w:p w14:paraId="0ECDE991" w14:textId="77777777" w:rsidR="00BD1D15" w:rsidRDefault="00BD1D15" w:rsidP="00BD1D15">
      <w:pPr>
        <w:pStyle w:val="BodyText"/>
      </w:pPr>
      <w:r>
        <w:t xml:space="preserve">Estimointiongelmien ratkaisu edellyttää useita oletuksia, joiden luonnetta kuvataan seuraavassa. Oletusten täsmällinen muoto riippuu käytettävästä menetelmästä. Havaitsemattoman tuottavuuden </w:t>
      </w:r>
      <m:oMath>
        <m:sSub>
          <m:sSubPr>
            <m:ctrlPr>
              <w:rPr>
                <w:rFonts w:ascii="Cambria Math" w:hAnsi="Cambria Math" w:cstheme="minorBidi"/>
                <w:b/>
                <w:bCs/>
                <w:i/>
                <w:sz w:val="22"/>
              </w:rPr>
            </m:ctrlPr>
          </m:sSubPr>
          <m:e>
            <m:r>
              <w:rPr>
                <w:rFonts w:ascii="Cambria Math" w:hAnsi="Cambria Math"/>
              </w:rPr>
              <m:t>ω</m:t>
            </m:r>
          </m:e>
          <m:sub>
            <m:r>
              <w:rPr>
                <w:rFonts w:ascii="Cambria Math" w:hAnsi="Cambria Math"/>
              </w:rPr>
              <m:t>it</m:t>
            </m:r>
          </m:sub>
        </m:sSub>
      </m:oMath>
      <w:r>
        <w:rPr>
          <w:b/>
          <w:bCs/>
        </w:rPr>
        <w:t xml:space="preserve"> </w:t>
      </w:r>
      <w:r>
        <w:t xml:space="preserve">oletetaan noudattavan ensimmäisen asteen markov-prosessia, eli </w:t>
      </w:r>
      <m:oMath>
        <m:sSub>
          <m:sSubPr>
            <m:ctrlPr>
              <w:rPr>
                <w:rFonts w:ascii="Cambria Math" w:hAnsi="Cambria Math" w:cstheme="minorBidi"/>
                <w:b/>
                <w:bCs/>
                <w:i/>
                <w:sz w:val="22"/>
              </w:rPr>
            </m:ctrlPr>
          </m:sSubPr>
          <m:e>
            <m:r>
              <w:rPr>
                <w:rFonts w:ascii="Cambria Math" w:hAnsi="Cambria Math"/>
              </w:rPr>
              <m:t>ω</m:t>
            </m:r>
          </m:e>
          <m:sub>
            <m:r>
              <w:rPr>
                <w:rFonts w:ascii="Cambria Math" w:hAnsi="Cambria Math"/>
              </w:rPr>
              <m:t>it</m:t>
            </m:r>
          </m:sub>
        </m:sSub>
        <m:r>
          <m:rPr>
            <m:sty m:val="bi"/>
          </m:rPr>
          <w:rPr>
            <w:rFonts w:ascii="Cambria Math" w:hAnsi="Cambria Math"/>
          </w:rPr>
          <m:t>=</m:t>
        </m:r>
        <m:sSub>
          <m:sSubPr>
            <m:ctrlPr>
              <w:rPr>
                <w:rFonts w:ascii="Cambria Math" w:hAnsi="Cambria Math" w:cstheme="minorBidi"/>
                <w:b/>
                <w:bCs/>
                <w:i/>
                <w:sz w:val="22"/>
              </w:rPr>
            </m:ctrlPr>
          </m:sSubPr>
          <m:e>
            <m:r>
              <w:rPr>
                <w:rFonts w:ascii="Cambria Math" w:hAnsi="Cambria Math"/>
              </w:rPr>
              <m:t>E(ω</m:t>
            </m:r>
          </m:e>
          <m:sub>
            <m:r>
              <w:rPr>
                <w:rFonts w:ascii="Cambria Math" w:hAnsi="Cambria Math"/>
              </w:rPr>
              <m:t>it</m:t>
            </m:r>
          </m:sub>
        </m:sSub>
        <m:d>
          <m:dPr>
            <m:begChr m:val="|"/>
            <m:ctrlPr>
              <w:rPr>
                <w:rFonts w:ascii="Cambria Math" w:hAnsi="Cambria Math"/>
                <w:b/>
                <w:bCs/>
                <w:i/>
              </w:rPr>
            </m:ctrlPr>
          </m:dPr>
          <m:e>
            <m:sSub>
              <m:sSubPr>
                <m:ctrlPr>
                  <w:rPr>
                    <w:rFonts w:ascii="Cambria Math" w:hAnsi="Cambria Math" w:cstheme="minorBidi"/>
                    <w:b/>
                    <w:bCs/>
                    <w:i/>
                    <w:sz w:val="22"/>
                  </w:rPr>
                </m:ctrlPr>
              </m:sSubPr>
              <m:e>
                <m:r>
                  <w:rPr>
                    <w:rFonts w:ascii="Cambria Math" w:hAnsi="Cambria Math"/>
                  </w:rPr>
                  <m:t>ω</m:t>
                </m:r>
              </m:e>
              <m:sub>
                <m:r>
                  <w:rPr>
                    <w:rFonts w:ascii="Cambria Math" w:hAnsi="Cambria Math"/>
                  </w:rPr>
                  <m:t>it</m:t>
                </m:r>
              </m:sub>
            </m:sSub>
            <m:ctrlPr>
              <w:rPr>
                <w:rFonts w:ascii="Cambria Math" w:hAnsi="Cambria Math"/>
                <w:i/>
              </w:rPr>
            </m:ctrlPr>
          </m:e>
        </m:d>
        <m:r>
          <m:rPr>
            <m:sty m:val="bi"/>
          </m:rPr>
          <w:rPr>
            <w:rFonts w:ascii="Cambria Math" w:hAnsi="Cambria Math"/>
          </w:rPr>
          <m:t>+</m:t>
        </m:r>
        <m:sSub>
          <m:sSubPr>
            <m:ctrlPr>
              <w:rPr>
                <w:rFonts w:ascii="Cambria Math" w:hAnsi="Cambria Math" w:cstheme="minorBidi"/>
                <w:i/>
                <w:sz w:val="22"/>
              </w:rPr>
            </m:ctrlPr>
          </m:sSubPr>
          <m:e>
            <m:r>
              <w:rPr>
                <w:rFonts w:ascii="Cambria Math" w:hAnsi="Cambria Math"/>
              </w:rPr>
              <m:t>ξ</m:t>
            </m:r>
          </m:e>
          <m:sub>
            <m:r>
              <w:rPr>
                <w:rFonts w:ascii="Cambria Math" w:hAnsi="Cambria Math"/>
              </w:rPr>
              <m:t>it</m:t>
            </m:r>
          </m:sub>
        </m:sSub>
        <m:r>
          <w:rPr>
            <w:rFonts w:ascii="Cambria Math" w:hAnsi="Cambria Math"/>
          </w:rPr>
          <m:t>=g</m:t>
        </m:r>
        <m:d>
          <m:dPr>
            <m:ctrlPr>
              <w:rPr>
                <w:rFonts w:ascii="Cambria Math" w:hAnsi="Cambria Math"/>
                <w:i/>
              </w:rPr>
            </m:ctrlPr>
          </m:dPr>
          <m:e>
            <m:sSub>
              <m:sSubPr>
                <m:ctrlPr>
                  <w:rPr>
                    <w:rFonts w:ascii="Cambria Math" w:hAnsi="Cambria Math" w:cstheme="minorBidi"/>
                    <w:b/>
                    <w:bCs/>
                    <w:i/>
                    <w:sz w:val="22"/>
                  </w:rPr>
                </m:ctrlPr>
              </m:sSubPr>
              <m:e>
                <m:r>
                  <w:rPr>
                    <w:rFonts w:ascii="Cambria Math" w:hAnsi="Cambria Math"/>
                  </w:rPr>
                  <m:t>ω</m:t>
                </m:r>
              </m:e>
              <m:sub>
                <m:r>
                  <w:rPr>
                    <w:rFonts w:ascii="Cambria Math" w:hAnsi="Cambria Math"/>
                  </w:rPr>
                  <m:t>it</m:t>
                </m:r>
              </m:sub>
            </m:sSub>
            <m:ctrlPr>
              <w:rPr>
                <w:rFonts w:ascii="Cambria Math" w:hAnsi="Cambria Math"/>
                <w:b/>
                <w:bCs/>
                <w:i/>
              </w:rPr>
            </m:ctrlPr>
          </m:e>
        </m:d>
        <m:r>
          <m:rPr>
            <m:sty m:val="bi"/>
          </m:rPr>
          <w:rPr>
            <w:rFonts w:ascii="Cambria Math" w:hAnsi="Cambria Math"/>
          </w:rPr>
          <m:t>+</m:t>
        </m:r>
        <m:sSub>
          <m:sSubPr>
            <m:ctrlPr>
              <w:rPr>
                <w:rFonts w:ascii="Cambria Math" w:hAnsi="Cambria Math" w:cstheme="minorBidi"/>
                <w:i/>
                <w:sz w:val="22"/>
              </w:rPr>
            </m:ctrlPr>
          </m:sSubPr>
          <m:e>
            <m:r>
              <w:rPr>
                <w:rFonts w:ascii="Cambria Math" w:hAnsi="Cambria Math"/>
              </w:rPr>
              <m:t>ξ</m:t>
            </m:r>
          </m:e>
          <m:sub>
            <m:r>
              <w:rPr>
                <w:rFonts w:ascii="Cambria Math" w:hAnsi="Cambria Math"/>
              </w:rPr>
              <m:t>it</m:t>
            </m:r>
          </m:sub>
        </m:sSub>
      </m:oMath>
      <w:r>
        <w:t xml:space="preserve">. Lisäksi oletetaan, että on olemassa jokin n.s proxy-muuttuja </w:t>
      </w:r>
      <m:oMath>
        <m:sSub>
          <m:sSubPr>
            <m:ctrlPr>
              <w:rPr>
                <w:rFonts w:ascii="Cambria Math" w:hAnsi="Cambria Math" w:cstheme="minorBidi"/>
                <w:i/>
                <w:sz w:val="22"/>
              </w:rPr>
            </m:ctrlPr>
          </m:sSubPr>
          <m:e>
            <m:r>
              <w:rPr>
                <w:rFonts w:ascii="Cambria Math" w:hAnsi="Cambria Math"/>
              </w:rPr>
              <m:t>m</m:t>
            </m:r>
          </m:e>
          <m:sub>
            <m:r>
              <w:rPr>
                <w:rFonts w:ascii="Cambria Math" w:hAnsi="Cambria Math"/>
              </w:rPr>
              <m:t>it</m:t>
            </m:r>
          </m:sub>
        </m:sSub>
      </m:oMath>
      <w:r>
        <w:t xml:space="preserve"> (esim. välituotekäyttö), jolle pätee seuraava yhtälö </w:t>
      </w:r>
      <m:oMath>
        <m:sSub>
          <m:sSubPr>
            <m:ctrlPr>
              <w:rPr>
                <w:rFonts w:ascii="Cambria Math" w:hAnsi="Cambria Math" w:cstheme="minorBidi"/>
                <w:i/>
                <w:sz w:val="22"/>
              </w:rPr>
            </m:ctrlPr>
          </m:sSubPr>
          <m:e>
            <m:r>
              <w:rPr>
                <w:rFonts w:ascii="Cambria Math" w:hAnsi="Cambria Math"/>
              </w:rPr>
              <m:t>m</m:t>
            </m:r>
          </m:e>
          <m:sub>
            <m:r>
              <w:rPr>
                <w:rFonts w:ascii="Cambria Math" w:hAnsi="Cambria Math"/>
              </w:rPr>
              <m:t>it</m:t>
            </m:r>
          </m:sub>
        </m:sSub>
        <m:r>
          <w:rPr>
            <w:rFonts w:ascii="Cambria Math" w:hAnsi="Cambria Math"/>
          </w:rPr>
          <m:t>=h</m:t>
        </m:r>
        <m:d>
          <m:dPr>
            <m:ctrlPr>
              <w:rPr>
                <w:rFonts w:ascii="Cambria Math" w:hAnsi="Cambria Math"/>
                <w:i/>
              </w:rPr>
            </m:ctrlPr>
          </m:dPr>
          <m:e>
            <m:sSub>
              <m:sSubPr>
                <m:ctrlPr>
                  <w:rPr>
                    <w:rFonts w:ascii="Cambria Math" w:hAnsi="Cambria Math" w:cstheme="minorBidi"/>
                    <w:b/>
                    <w:bCs/>
                    <w:i/>
                    <w:sz w:val="22"/>
                  </w:rPr>
                </m:ctrlPr>
              </m:sSubPr>
              <m:e>
                <m:r>
                  <m:rPr>
                    <m:sty m:val="bi"/>
                  </m:rPr>
                  <w:rPr>
                    <w:rFonts w:ascii="Cambria Math" w:hAnsi="Cambria Math"/>
                  </w:rPr>
                  <m:t>x</m:t>
                </m:r>
              </m:e>
              <m:sub>
                <m:r>
                  <m:rPr>
                    <m:sty m:val="bi"/>
                  </m:rPr>
                  <w:rPr>
                    <w:rFonts w:ascii="Cambria Math" w:hAnsi="Cambria Math"/>
                  </w:rPr>
                  <m:t>it</m:t>
                </m:r>
              </m:sub>
            </m:sSub>
            <m:r>
              <m:rPr>
                <m:sty m:val="bi"/>
              </m:rPr>
              <w:rPr>
                <w:rFonts w:ascii="Cambria Math" w:hAnsi="Cambria Math"/>
              </w:rPr>
              <m:t>,</m:t>
            </m:r>
            <m:sSub>
              <m:sSubPr>
                <m:ctrlPr>
                  <w:rPr>
                    <w:rFonts w:ascii="Cambria Math" w:hAnsi="Cambria Math" w:cstheme="minorBidi"/>
                    <w:b/>
                    <w:bCs/>
                    <w:i/>
                    <w:sz w:val="22"/>
                  </w:rPr>
                </m:ctrlPr>
              </m:sSubPr>
              <m:e>
                <m:r>
                  <w:rPr>
                    <w:rFonts w:ascii="Cambria Math" w:hAnsi="Cambria Math"/>
                  </w:rPr>
                  <m:t>ω</m:t>
                </m:r>
              </m:e>
              <m:sub>
                <m:r>
                  <w:rPr>
                    <w:rFonts w:ascii="Cambria Math" w:hAnsi="Cambria Math"/>
                  </w:rPr>
                  <m:t>it</m:t>
                </m:r>
              </m:sub>
            </m:sSub>
            <m:ctrlPr>
              <w:rPr>
                <w:rFonts w:ascii="Cambria Math" w:hAnsi="Cambria Math"/>
                <w:b/>
                <w:bCs/>
                <w:i/>
              </w:rPr>
            </m:ctrlPr>
          </m:e>
        </m:d>
      </m:oMath>
      <w:r>
        <w:t xml:space="preserve">. Tämän yhtälön oletetaan olevan monotonisesti kasvava tuottavuudessa, jolloin voidaan kirjoittaa </w:t>
      </w:r>
      <m:oMath>
        <m:sSub>
          <m:sSubPr>
            <m:ctrlPr>
              <w:rPr>
                <w:rFonts w:ascii="Cambria Math" w:hAnsi="Cambria Math" w:cstheme="minorBidi"/>
                <w:b/>
                <w:bCs/>
                <w:i/>
                <w:sz w:val="22"/>
              </w:rPr>
            </m:ctrlPr>
          </m:sSubPr>
          <m:e>
            <m:r>
              <w:rPr>
                <w:rFonts w:ascii="Cambria Math" w:hAnsi="Cambria Math"/>
              </w:rPr>
              <m:t>ω</m:t>
            </m:r>
          </m:e>
          <m:sub>
            <m:r>
              <w:rPr>
                <w:rFonts w:ascii="Cambria Math" w:hAnsi="Cambria Math"/>
              </w:rPr>
              <m:t>it</m:t>
            </m:r>
          </m:sub>
        </m:sSub>
        <m:r>
          <w:rPr>
            <w:rFonts w:ascii="Cambria Math" w:hAnsi="Cambria Math"/>
          </w:rPr>
          <m:t>=</m:t>
        </m:r>
        <m:sSup>
          <m:sSupPr>
            <m:ctrlPr>
              <w:rPr>
                <w:rFonts w:ascii="Cambria Math" w:hAnsi="Cambria Math" w:cstheme="minorBidi"/>
                <w:i/>
                <w:sz w:val="22"/>
              </w:rPr>
            </m:ctrlPr>
          </m:sSupPr>
          <m:e>
            <m:r>
              <w:rPr>
                <w:rFonts w:ascii="Cambria Math" w:hAnsi="Cambria Math"/>
              </w:rPr>
              <m:t>h</m:t>
            </m:r>
          </m:e>
          <m:sup>
            <m:r>
              <w:rPr>
                <w:rFonts w:ascii="Cambria Math" w:hAnsi="Cambria Math"/>
              </w:rPr>
              <m:t>-1</m:t>
            </m:r>
          </m:sup>
        </m:sSup>
        <m:d>
          <m:dPr>
            <m:ctrlPr>
              <w:rPr>
                <w:rFonts w:ascii="Cambria Math" w:hAnsi="Cambria Math"/>
                <w:i/>
              </w:rPr>
            </m:ctrlPr>
          </m:dPr>
          <m:e>
            <m:sSub>
              <m:sSubPr>
                <m:ctrlPr>
                  <w:rPr>
                    <w:rFonts w:ascii="Cambria Math" w:hAnsi="Cambria Math" w:cstheme="minorBidi"/>
                    <w:b/>
                    <w:bCs/>
                    <w:i/>
                    <w:sz w:val="22"/>
                  </w:rPr>
                </m:ctrlPr>
              </m:sSubPr>
              <m:e>
                <m:r>
                  <m:rPr>
                    <m:sty m:val="bi"/>
                  </m:rPr>
                  <w:rPr>
                    <w:rFonts w:ascii="Cambria Math" w:hAnsi="Cambria Math"/>
                  </w:rPr>
                  <m:t>x</m:t>
                </m:r>
              </m:e>
              <m:sub>
                <m:r>
                  <m:rPr>
                    <m:sty m:val="bi"/>
                  </m:rPr>
                  <w:rPr>
                    <w:rFonts w:ascii="Cambria Math" w:hAnsi="Cambria Math"/>
                  </w:rPr>
                  <m:t>it</m:t>
                </m:r>
              </m:sub>
            </m:sSub>
            <m:r>
              <m:rPr>
                <m:sty m:val="bi"/>
              </m:rPr>
              <w:rPr>
                <w:rFonts w:ascii="Cambria Math" w:hAnsi="Cambria Math"/>
              </w:rPr>
              <m:t>,</m:t>
            </m:r>
            <m:sSub>
              <m:sSubPr>
                <m:ctrlPr>
                  <w:rPr>
                    <w:rFonts w:ascii="Cambria Math" w:hAnsi="Cambria Math" w:cstheme="minorBidi"/>
                    <w:b/>
                    <w:bCs/>
                    <w:i/>
                    <w:sz w:val="22"/>
                  </w:rPr>
                </m:ctrlPr>
              </m:sSubPr>
              <m:e>
                <m:r>
                  <w:rPr>
                    <w:rFonts w:ascii="Cambria Math" w:hAnsi="Cambria Math"/>
                  </w:rPr>
                  <m:t>m</m:t>
                </m:r>
              </m:e>
              <m:sub>
                <m:r>
                  <w:rPr>
                    <w:rFonts w:ascii="Cambria Math" w:hAnsi="Cambria Math"/>
                  </w:rPr>
                  <m:t>it</m:t>
                </m:r>
              </m:sub>
            </m:sSub>
            <m:ctrlPr>
              <w:rPr>
                <w:rFonts w:ascii="Cambria Math" w:hAnsi="Cambria Math"/>
                <w:b/>
                <w:bCs/>
                <w:i/>
              </w:rPr>
            </m:ctrlPr>
          </m:e>
        </m:d>
      </m:oMath>
      <w:r>
        <w:t xml:space="preserve">. Näin havaitsematon tuottavuus voidaan kirjoittaa havaittujen muuttujien (tuntemattomana) funktiona. Tämä on näiden menetelmien ydin, sillä tämän funktion jokin approksimaatio voidaan sijoittaa tuotantofunktioon ja näin päästään eroon havaitsemattoman tuottavuuden aiheuttamista ongelmista. </w:t>
      </w:r>
    </w:p>
    <w:p w14:paraId="0CF5E3BA" w14:textId="77777777" w:rsidR="00BD1D15" w:rsidRDefault="00BD1D15" w:rsidP="00BD1D15">
      <w:pPr>
        <w:pStyle w:val="BodyText"/>
      </w:pPr>
      <w:r>
        <w:t xml:space="preserve">Vapaat muuttujat ovat sellaisia, joiden tason yritys valitsee havaittuaan periodin </w:t>
      </w:r>
      <w:r>
        <w:rPr>
          <w:i/>
          <w:iCs/>
        </w:rPr>
        <w:t>t</w:t>
      </w:r>
      <w:r>
        <w:t xml:space="preserve"> tuottavuuden </w:t>
      </w:r>
      <m:oMath>
        <m:sSub>
          <m:sSubPr>
            <m:ctrlPr>
              <w:rPr>
                <w:rFonts w:ascii="Cambria Math" w:hAnsi="Cambria Math" w:cstheme="minorBidi"/>
                <w:b/>
                <w:bCs/>
                <w:i/>
                <w:sz w:val="22"/>
              </w:rPr>
            </m:ctrlPr>
          </m:sSubPr>
          <m:e>
            <m:r>
              <w:rPr>
                <w:rFonts w:ascii="Cambria Math" w:hAnsi="Cambria Math"/>
              </w:rPr>
              <m:t>ω</m:t>
            </m:r>
          </m:e>
          <m:sub>
            <m:r>
              <w:rPr>
                <w:rFonts w:ascii="Cambria Math" w:hAnsi="Cambria Math"/>
              </w:rPr>
              <m:t>it</m:t>
            </m:r>
          </m:sub>
        </m:sSub>
      </m:oMath>
      <w:r>
        <w:t xml:space="preserve">, kun taas tilamuuttujat ovat sellaisia, joiden hetken </w:t>
      </w:r>
      <w:r>
        <w:rPr>
          <w:i/>
          <w:iCs/>
        </w:rPr>
        <w:t>t</w:t>
      </w:r>
      <w:r>
        <w:t xml:space="preserve"> tasosta </w:t>
      </w:r>
      <w:r>
        <w:lastRenderedPageBreak/>
        <w:t xml:space="preserve">päätös tehdään edellisellä periodilla. Vapaissa muuttujissa on tyypillisesti työvoiman lukumäärä, joka voidaan jaotella myös erilaisten työvoimatyyppien mukaan. Tämä voi olla tärkeää, sillä työvoima laatu saattaa vaihdella alueittain, ja jos tätä ei huomioida estimoinnissa, saattaa kasautumisen ja tuottavuuden välinen yhteys tulla harhaisesti estimoiduksi </w:t>
      </w:r>
      <w:r>
        <w:rPr>
          <w:noProof/>
        </w:rPr>
        <w:t>(Graham ja Gibbons, 2019)</w:t>
      </w:r>
      <w:r>
        <w:t xml:space="preserve">. Tilamuuttujissa on mukana tyypillisesti pääoma, mutta myös tehokkaan tiheyden mittari on luontevaa sisällyttää niihin </w:t>
      </w:r>
      <w:r>
        <w:rPr>
          <w:noProof/>
        </w:rPr>
        <w:t>(Graham ym., 2010)</w:t>
      </w:r>
      <w:r>
        <w:t xml:space="preserve">. </w:t>
      </w:r>
    </w:p>
    <w:p w14:paraId="53F80C2D" w14:textId="34ADC801" w:rsidR="003E14C0" w:rsidRDefault="003E14C0" w:rsidP="003E14C0">
      <w:pPr>
        <w:pStyle w:val="Heading3"/>
      </w:pPr>
      <w:bookmarkStart w:id="38" w:name="_Toc76110801"/>
      <w:r>
        <w:t>Käytettävät aineistot</w:t>
      </w:r>
      <w:bookmarkEnd w:id="38"/>
    </w:p>
    <w:p w14:paraId="0F6155C3" w14:textId="36902C16" w:rsidR="00BD1D15" w:rsidRDefault="00BD1D15" w:rsidP="00BD1D15">
      <w:pPr>
        <w:pStyle w:val="BodyText"/>
      </w:pPr>
      <w:r>
        <w:t xml:space="preserve">Estimointiin tarvitaan toimipaikkatason tilastoaineisto, jossa toimipaikkoja voidaan seurata yli ajan. Toimipaikat pitää myös pystyä sijoittamaan karttaruudukkoon, jotta toimipaikalle voidaan osoittaa tehokkaan tiheyden mittari. Tilastoaineistossa tulee olla tiedot arvonlisäyksestä, työvoimasta, välituotekäytöstä ja pääomakannasta (tai investoinneista). </w:t>
      </w:r>
    </w:p>
    <w:p w14:paraId="095E7369" w14:textId="09DE8CEF" w:rsidR="00BD1D15" w:rsidRDefault="00BD1D15" w:rsidP="00BD1D15">
      <w:pPr>
        <w:pStyle w:val="BodyText"/>
        <w:rPr>
          <w:rFonts w:eastAsiaTheme="minorEastAsia"/>
        </w:rPr>
      </w:pPr>
      <w:r>
        <w:rPr>
          <w:rFonts w:eastAsiaTheme="minorEastAsia"/>
        </w:rPr>
        <w:t xml:space="preserve">Suomessa Tilastokeskuksen tuoreet valmisaineistot sisältävät kaikki tarvittavat tiedot. Aineisto ”FIRM_PROD Alueellisen yritystoimintatilaston aineisto (YA212)” sisältää toimipaikkatason tiedot arvonlisäyksestä työvoimasta, välituotekäytöstä ja investoinneista. Aineisto kattaa suuren osan toimialoista, mutta ei aivan kaikkia. Tässä aineistossa on myös rakennustunnus, jolla toimipaikka voidaan sijoittaa karttaruudukkoon. Toimipaikan henkilöstörakennetta kuvaavat tiedot ovat saatavilla aineistosta ”FIRM_EMPEST Toimipaikkakohtaiset henkilöstöominaisuudet (YA242)”. Näiden aineistojen avulla on mahdollista tehdä samankaltaiset estimoinnit kuin </w:t>
      </w:r>
      <w:r>
        <w:rPr>
          <w:rFonts w:eastAsiaTheme="minorEastAsia"/>
          <w:noProof/>
        </w:rPr>
        <w:t>Graham ym. (2010)</w:t>
      </w:r>
      <w:r>
        <w:rPr>
          <w:rFonts w:eastAsiaTheme="minorEastAsia"/>
        </w:rPr>
        <w:t xml:space="preserve"> ovat tehneet, ehkä jopa hieman paremmin, sillä suomalaisissa aineistoissa tietosisältö on hieman rikkaampi. Nämä aineistot mahdollistavat kasautumisvaikutusten arvioinnin myös toimialoittain.</w:t>
      </w:r>
    </w:p>
    <w:p w14:paraId="3B66A645" w14:textId="332A699A" w:rsidR="00F10DFF" w:rsidRPr="005D7BF5" w:rsidRDefault="002705D2" w:rsidP="008235BD">
      <w:pPr>
        <w:pStyle w:val="BodyText"/>
        <w:rPr>
          <w:rFonts w:eastAsiaTheme="minorEastAsia"/>
        </w:rPr>
      </w:pPr>
      <w:r w:rsidRPr="005D7BF5">
        <w:rPr>
          <w:rFonts w:eastAsiaTheme="minorEastAsia"/>
        </w:rPr>
        <w:t xml:space="preserve">Tässä työssä on käytetty tehokkaan tiheyden laskennassa Helsingin seudun työssäkäyntialueen liikennemallia, sen tuottamia matkavastuksia ja työperäisten matkojen kysyntää. Joustoestimointityön yhteydessä </w:t>
      </w:r>
      <w:r w:rsidR="004E2949" w:rsidRPr="005D7BF5">
        <w:rPr>
          <w:rFonts w:eastAsiaTheme="minorEastAsia"/>
        </w:rPr>
        <w:t>kannatta</w:t>
      </w:r>
      <w:r w:rsidR="008235BD" w:rsidRPr="005D7BF5">
        <w:rPr>
          <w:rFonts w:eastAsiaTheme="minorEastAsia"/>
        </w:rPr>
        <w:t>a selvittää esimerkiksi uusimman valtakunnallisen henkilöliikennetutkimuksen aineistosta millaisia alueellisia eroja työ</w:t>
      </w:r>
      <w:r w:rsidR="002B5732">
        <w:rPr>
          <w:rFonts w:eastAsiaTheme="minorEastAsia"/>
        </w:rPr>
        <w:t xml:space="preserve">peräisten </w:t>
      </w:r>
      <w:r w:rsidR="008235BD" w:rsidRPr="005D7BF5">
        <w:rPr>
          <w:rFonts w:eastAsiaTheme="minorEastAsia"/>
        </w:rPr>
        <w:t>matkojen pituuksissa on.</w:t>
      </w:r>
      <w:r w:rsidR="004E2949" w:rsidRPr="005D7BF5">
        <w:rPr>
          <w:rFonts w:eastAsiaTheme="minorEastAsia"/>
        </w:rPr>
        <w:t xml:space="preserve"> Näin voidaan arvioida, soveltuvatko samat tehokkaan tiheyden laskentakaavat koko maahan, vai onko niitä syytä </w:t>
      </w:r>
      <w:r w:rsidR="009966E6" w:rsidRPr="005D7BF5">
        <w:rPr>
          <w:rFonts w:eastAsiaTheme="minorEastAsia"/>
        </w:rPr>
        <w:t>tarkentaa</w:t>
      </w:r>
      <w:r w:rsidR="004E2949" w:rsidRPr="005D7BF5">
        <w:rPr>
          <w:rFonts w:eastAsiaTheme="minorEastAsia"/>
        </w:rPr>
        <w:t xml:space="preserve"> aluekohtaisesti.</w:t>
      </w:r>
      <w:r w:rsidR="008235BD" w:rsidRPr="005D7BF5">
        <w:rPr>
          <w:rFonts w:eastAsiaTheme="minorEastAsia"/>
        </w:rPr>
        <w:t xml:space="preserve"> </w:t>
      </w:r>
    </w:p>
    <w:p w14:paraId="08E8E3A6" w14:textId="6DD9EBA3" w:rsidR="008235BD" w:rsidRPr="008235BD" w:rsidRDefault="008235BD" w:rsidP="008235BD">
      <w:pPr>
        <w:pStyle w:val="BodyText"/>
        <w:rPr>
          <w:rFonts w:eastAsiaTheme="minorEastAsia"/>
        </w:rPr>
      </w:pPr>
      <w:r w:rsidRPr="005D7BF5">
        <w:rPr>
          <w:rFonts w:eastAsiaTheme="minorEastAsia"/>
        </w:rPr>
        <w:t>Joustoestimointityössä kannattaa joka tapauksessa ottaa tarkasteluun vähintään kaksi eri kaupunkiseutua (esim. Helsin</w:t>
      </w:r>
      <w:r w:rsidR="00F10DFF" w:rsidRPr="005D7BF5">
        <w:rPr>
          <w:rFonts w:eastAsiaTheme="minorEastAsia"/>
        </w:rPr>
        <w:t>ki</w:t>
      </w:r>
      <w:r w:rsidRPr="005D7BF5">
        <w:rPr>
          <w:rFonts w:eastAsiaTheme="minorEastAsia"/>
        </w:rPr>
        <w:t xml:space="preserve"> ja Turku). Jolloin</w:t>
      </w:r>
      <w:r w:rsidR="00F10DFF" w:rsidRPr="005D7BF5">
        <w:rPr>
          <w:rFonts w:eastAsiaTheme="minorEastAsia"/>
        </w:rPr>
        <w:t xml:space="preserve"> toisessa</w:t>
      </w:r>
      <w:r w:rsidRPr="005D7BF5">
        <w:rPr>
          <w:rFonts w:eastAsiaTheme="minorEastAsia"/>
        </w:rPr>
        <w:t xml:space="preserve"> käytetään Helsingin seudun työssäkäyntialueen liikennemallia</w:t>
      </w:r>
      <w:r w:rsidR="00F10DFF" w:rsidRPr="005D7BF5">
        <w:rPr>
          <w:rFonts w:eastAsiaTheme="minorEastAsia"/>
        </w:rPr>
        <w:t xml:space="preserve"> ja toisessa Turun seudun liikennemallia. Kaupunkiseutujen välisen liikenteen vaikutuksia taloudelliseen tuottavauuteen tarkastellaan valtakunnallisen liikennemallin avulla.</w:t>
      </w:r>
      <w:r w:rsidR="00F10DFF">
        <w:rPr>
          <w:rFonts w:eastAsiaTheme="minorEastAsia"/>
        </w:rPr>
        <w:t xml:space="preserve"> </w:t>
      </w:r>
    </w:p>
    <w:p w14:paraId="42ACFB1A" w14:textId="77777777" w:rsidR="007E4C69" w:rsidRPr="00F369C7" w:rsidRDefault="007E4C69" w:rsidP="00D577E9">
      <w:pPr>
        <w:pStyle w:val="BodyText"/>
      </w:pPr>
    </w:p>
    <w:p w14:paraId="4BDB35F1" w14:textId="77777777" w:rsidR="00EA7F71" w:rsidRDefault="00EA7F71">
      <w:pPr>
        <w:rPr>
          <w:rFonts w:eastAsiaTheme="majorEastAsia" w:cstheme="majorHAnsi"/>
          <w:b/>
          <w:bCs/>
          <w:sz w:val="28"/>
          <w:szCs w:val="28"/>
        </w:rPr>
      </w:pPr>
      <w:r>
        <w:br w:type="page"/>
      </w:r>
    </w:p>
    <w:p w14:paraId="5F338C6C" w14:textId="503D81A1" w:rsidR="00D577E9" w:rsidRPr="00F369C7" w:rsidRDefault="00D20FCC" w:rsidP="00D577E9">
      <w:pPr>
        <w:pStyle w:val="Heading1"/>
        <w:rPr>
          <w:rFonts w:asciiTheme="minorHAnsi" w:hAnsiTheme="minorHAnsi"/>
        </w:rPr>
      </w:pPr>
      <w:bookmarkStart w:id="39" w:name="_Toc76110802"/>
      <w:r>
        <w:rPr>
          <w:rFonts w:asciiTheme="minorHAnsi" w:hAnsiTheme="minorHAnsi"/>
        </w:rPr>
        <w:lastRenderedPageBreak/>
        <w:t>Yhteenveto, päätelmät ja suositukset</w:t>
      </w:r>
      <w:bookmarkEnd w:id="39"/>
    </w:p>
    <w:p w14:paraId="6F387EEA" w14:textId="1998FEF9" w:rsidR="009621E8" w:rsidRDefault="009621E8" w:rsidP="009621E8">
      <w:pPr>
        <w:pStyle w:val="Heading2"/>
      </w:pPr>
      <w:bookmarkStart w:id="40" w:name="_Toc76110803"/>
      <w:r>
        <w:t>Työn tavoitteet ja sisältö</w:t>
      </w:r>
      <w:bookmarkEnd w:id="40"/>
    </w:p>
    <w:p w14:paraId="6FAE0AE5" w14:textId="7ADF9A89" w:rsidR="00EA62FB" w:rsidRDefault="00EA62FB" w:rsidP="00EA62FB">
      <w:pPr>
        <w:pStyle w:val="BodyText"/>
      </w:pPr>
      <w:bookmarkStart w:id="41" w:name="_Hlk73522237"/>
      <w:r>
        <w:t xml:space="preserve">Tämän työn tavoitteena on ollut määrittää Suomeen soveltuva tehokkaan tiheyden mittari. Mittarin määrittely on yksi vaihe kasautumisvaikutusten arvioinnin kehittämisen kokonaisuudesta. Kasautumisvaikutusten arvioinnin kehittäminen puolestaan on osa liikennejärjestelmän laajempien vaikutusten arvioinnin tutkimus- ja kehityskokonaisuutta liikenne- ja viestintäministeriön hallinnonalalla. Työssä on tehty katsaus ajankohtaiseen kasautumisvaikutuksia käsittelevään tutkimuskirjallisuuteen, </w:t>
      </w:r>
      <w:r w:rsidR="00C13E25">
        <w:t>estimoitu mittarin parametrit Helsingin seudun liikennetutkimusaineistolla, testattu mittarin arvon laskentaa sekä Helsingin seudun liikennemallilla että valtakunnallisella liikennemallilla ja esitetty alustava suunnitelma tulevan joustotutkimuksen sisällöstä.</w:t>
      </w:r>
    </w:p>
    <w:p w14:paraId="1D27FB95" w14:textId="150BA5AD" w:rsidR="009621E8" w:rsidRDefault="009621E8" w:rsidP="009621E8">
      <w:pPr>
        <w:pStyle w:val="Heading2"/>
      </w:pPr>
      <w:bookmarkStart w:id="42" w:name="_Toc76110804"/>
      <w:r>
        <w:t>Kasautumisen mittaaminen ja tehokas tiheys kirjallisuudessa</w:t>
      </w:r>
      <w:bookmarkEnd w:id="42"/>
    </w:p>
    <w:p w14:paraId="73EA1C68" w14:textId="242AE88C" w:rsidR="00EA62FB" w:rsidRDefault="00C13E25" w:rsidP="00A92FA7">
      <w:pPr>
        <w:pStyle w:val="BodyText"/>
      </w:pPr>
      <w:r>
        <w:t>Tutkimusten mukaan paras tapa kuvata alueiden kasautumista eli taloudellista saavutettavuutta on tehokas tiheys</w:t>
      </w:r>
      <w:r w:rsidRPr="00630CCA">
        <w:t xml:space="preserve"> (effective density)</w:t>
      </w:r>
      <w:r>
        <w:t xml:space="preserve">. </w:t>
      </w:r>
      <w:r w:rsidR="00A92FA7">
        <w:t>T</w:t>
      </w:r>
      <w:r w:rsidRPr="00630CCA">
        <w:t>ehokas tiheys mittaa alueen saavutettavuutta oman ja muiden alueiden taloudellisen toiminnan massan sekä alueiden välisten etäisyyksien avulla</w:t>
      </w:r>
      <w:r w:rsidR="00A92FA7">
        <w:t>. Kasautumisen tutkimuksissa on aiemmin käytetty muitakin kasautumisen mittoja, mutta tuoreimmissa tutkimuksissa tehokas tiheys on vallitseva valinta.</w:t>
      </w:r>
    </w:p>
    <w:p w14:paraId="485AF4C1" w14:textId="6222A7CD" w:rsidR="00841AF4" w:rsidRDefault="00A92FA7" w:rsidP="00A92FA7">
      <w:pPr>
        <w:pStyle w:val="BodyText"/>
      </w:pPr>
      <w:r>
        <w:t>Teorian mukaan k</w:t>
      </w:r>
      <w:r w:rsidRPr="00630CCA">
        <w:t>asautuminen vaikuttaa tuottavuuteen kolmen eri kanavan kautta</w:t>
      </w:r>
      <w:r>
        <w:t>, jotka ovat</w:t>
      </w:r>
      <w:r w:rsidRPr="00630CCA">
        <w:t xml:space="preserve"> </w:t>
      </w:r>
      <w:r w:rsidR="00CF4BC1">
        <w:t xml:space="preserve">työn tarjonnan ja kysynnän </w:t>
      </w:r>
      <w:r w:rsidRPr="00630CCA">
        <w:t>kohtaanto</w:t>
      </w:r>
      <w:r>
        <w:t xml:space="preserve"> (matching)</w:t>
      </w:r>
      <w:r w:rsidRPr="00630CCA">
        <w:t xml:space="preserve">, </w:t>
      </w:r>
      <w:r w:rsidR="00CF4BC1">
        <w:t xml:space="preserve">resurssien ja palveluiden </w:t>
      </w:r>
      <w:r w:rsidRPr="00630CCA">
        <w:t>jakaminen</w:t>
      </w:r>
      <w:r>
        <w:t xml:space="preserve"> (sharing)</w:t>
      </w:r>
      <w:r w:rsidRPr="00630CCA">
        <w:t xml:space="preserve"> ja </w:t>
      </w:r>
      <w:r w:rsidR="00CF4BC1">
        <w:t xml:space="preserve">työntekijöiden välillä tapahtuva </w:t>
      </w:r>
      <w:r w:rsidRPr="00630CCA">
        <w:t>oppiminen</w:t>
      </w:r>
      <w:r>
        <w:t xml:space="preserve"> (learning).</w:t>
      </w:r>
      <w:r w:rsidRPr="00630CCA">
        <w:t xml:space="preserve"> </w:t>
      </w:r>
      <w:r>
        <w:t xml:space="preserve">Kasautumishyötyjen tutkimuksessa ei ole löydetty uskottavaa tapaa erottaa </w:t>
      </w:r>
      <w:r w:rsidRPr="00630CCA">
        <w:t xml:space="preserve">kasautumishyötyjen eri kanavia toisistaan. </w:t>
      </w:r>
      <w:r>
        <w:t xml:space="preserve">Käytännössä työn tarjonnan ja työn kysynnän kohtaanto </w:t>
      </w:r>
      <w:r w:rsidR="00A510E0">
        <w:t xml:space="preserve">muuttuu kodin ja työpaikan välisten matkojen vastuksen muuttuessa, ja muut vaikutuskanavat riippuvat työperäisten matkojen vastuksen muutoksesta. </w:t>
      </w:r>
      <w:r w:rsidR="005F74E7" w:rsidRPr="00630CCA">
        <w:t>Useat tutkimukset osoittavat, että kasautumisvaikutukset vaimentuvat nopeasti ja ovat hyvin paikallisia</w:t>
      </w:r>
      <w:r w:rsidR="005F74E7">
        <w:t>. Ilmiö on relevantti kaupunkiseutujen sisäisissä liikennejärjestelmämuutoksissa, mutta kaupunkien välisten yhteyksien parantamisen kasautumishyödyistä ei ole löydetty tutkimusnäyttöä.</w:t>
      </w:r>
    </w:p>
    <w:p w14:paraId="2CFA0DA3" w14:textId="0AFCED5E" w:rsidR="00191190" w:rsidRDefault="005F74E7" w:rsidP="00251EED">
      <w:pPr>
        <w:pStyle w:val="BodyText"/>
      </w:pPr>
      <w:r>
        <w:t>Tehokkaan tiheyden mittarin määrittelyssä ratkaistavia asioita ovat aluerajaus, taloudellisen massan määre, etäisyysmitta ja etäisyyden merkitys (vaikutuksen vaimeneminen)</w:t>
      </w:r>
      <w:r w:rsidR="009621E8">
        <w:t>. Kirjallisuuskatsaus evästää valintoja seuraavasti:</w:t>
      </w:r>
      <w:r>
        <w:t xml:space="preserve"> </w:t>
      </w:r>
    </w:p>
    <w:p w14:paraId="2305A508" w14:textId="77777777" w:rsidR="00191190" w:rsidRDefault="00251EED" w:rsidP="00191190">
      <w:pPr>
        <w:pStyle w:val="BodyText"/>
        <w:numPr>
          <w:ilvl w:val="0"/>
          <w:numId w:val="28"/>
        </w:numPr>
      </w:pPr>
      <w:r>
        <w:t>Mahdollisimman tarkkaa aluejakoa pidetään tavoiteltavana tehokkaan tiheyden laskennassa, koska vaikutukset vaimenevat nopeasti. Käytännössä tutkimusten aluerajaukset ovat</w:t>
      </w:r>
      <w:r w:rsidR="005F74E7">
        <w:t xml:space="preserve"> </w:t>
      </w:r>
      <w:r>
        <w:t>määräytyneet</w:t>
      </w:r>
      <w:r w:rsidR="005F74E7">
        <w:t xml:space="preserve"> käytettävissä olevien </w:t>
      </w:r>
      <w:r>
        <w:t>talous</w:t>
      </w:r>
      <w:r w:rsidR="005F74E7">
        <w:t>aineistojen mukaan</w:t>
      </w:r>
      <w:r>
        <w:t xml:space="preserve"> tai sen mukaan, millä aluejaolla matkavastukset voidaan laskea</w:t>
      </w:r>
      <w:r w:rsidR="005F74E7">
        <w:t xml:space="preserve">. </w:t>
      </w:r>
    </w:p>
    <w:p w14:paraId="1E6A3243" w14:textId="279CBAA5" w:rsidR="00191190" w:rsidRDefault="00191190" w:rsidP="00191190">
      <w:pPr>
        <w:pStyle w:val="BodyText"/>
        <w:numPr>
          <w:ilvl w:val="0"/>
          <w:numId w:val="28"/>
        </w:numPr>
      </w:pPr>
      <w:r>
        <w:t>Taloudellinen massa määritetään yleisesti työpaikkojen määrän perusteella, koska kasautumisilmiössä on kysymys työpaikkojen saavutettavuudesta.</w:t>
      </w:r>
    </w:p>
    <w:p w14:paraId="42B10629" w14:textId="21FCB8BF" w:rsidR="00F83AF2" w:rsidRDefault="00F83AF2" w:rsidP="00191190">
      <w:pPr>
        <w:pStyle w:val="BodyText"/>
        <w:numPr>
          <w:ilvl w:val="0"/>
          <w:numId w:val="28"/>
        </w:numPr>
      </w:pPr>
      <w:r w:rsidRPr="00F83AF2">
        <w:t>Yleistetty matkakustannus kuvaa todellista matkavastusta eri alueiden välillä</w:t>
      </w:r>
      <w:r>
        <w:t xml:space="preserve"> ja on siten </w:t>
      </w:r>
      <w:r w:rsidRPr="00F83AF2">
        <w:t xml:space="preserve">suositelluin </w:t>
      </w:r>
      <w:r>
        <w:t xml:space="preserve">etäisyysmitta </w:t>
      </w:r>
      <w:r w:rsidRPr="00F83AF2">
        <w:t xml:space="preserve">tehokkaan tiheyden </w:t>
      </w:r>
      <w:r>
        <w:t>laskentaan.</w:t>
      </w:r>
    </w:p>
    <w:p w14:paraId="3A9CA1D3" w14:textId="42026875" w:rsidR="00F83AF2" w:rsidRDefault="009621E8" w:rsidP="00191190">
      <w:pPr>
        <w:pStyle w:val="BodyText"/>
        <w:numPr>
          <w:ilvl w:val="0"/>
          <w:numId w:val="28"/>
        </w:numPr>
      </w:pPr>
      <w:r w:rsidRPr="009621E8">
        <w:t xml:space="preserve">Kasautumisvaikutus laimenee </w:t>
      </w:r>
      <w:r>
        <w:t>etäisyyden myötä, minkä takia</w:t>
      </w:r>
      <w:r w:rsidRPr="009621E8">
        <w:t xml:space="preserve"> </w:t>
      </w:r>
      <w:r>
        <w:t>tehokkaan tiheyden funktio esitetään yleisesti etäisyyden mukaan laskevana funktiona. Funktion muodon ja vaimenemiskertoimen valinta on</w:t>
      </w:r>
      <w:r w:rsidRPr="009621E8">
        <w:t xml:space="preserve"> empiirinen kysymys siitä, mikä muoto vastaa </w:t>
      </w:r>
      <w:r>
        <w:t>havaintoja</w:t>
      </w:r>
      <w:r w:rsidRPr="009621E8">
        <w:t xml:space="preserve"> tarkimmin.</w:t>
      </w:r>
    </w:p>
    <w:p w14:paraId="7BB77659" w14:textId="2E207C96" w:rsidR="009621E8" w:rsidRDefault="00CF4BC1" w:rsidP="00375E60">
      <w:pPr>
        <w:pStyle w:val="BodyText"/>
      </w:pPr>
      <w:r w:rsidRPr="00B13276">
        <w:lastRenderedPageBreak/>
        <w:t>Kasautumisvaikutusten arviointi on ohjeist</w:t>
      </w:r>
      <w:r w:rsidR="00536F76" w:rsidRPr="00B13276">
        <w:t xml:space="preserve">ettu osaksi väylähankkeiden laajempien taloudellisten vaikutusten arviointia </w:t>
      </w:r>
      <w:r w:rsidRPr="00B13276">
        <w:t>professori Daniel Grahamin Englannissa tekemien tutkimusten pohjalta. Arvioinnin perusmallissa tehokas tiheys esitetään alueiden välisen matkavastuksen, työpaikkojen määrän ja etäisyyden funktiona. Laskennan keskeisiä parametreja ovat Grahamin estimoimat tuottavuusjoustot ja vaimenemiskertoimet toimialaryhmittäin</w:t>
      </w:r>
      <w:r w:rsidR="00536F76" w:rsidRPr="00B13276">
        <w:t xml:space="preserve"> sekä alue- ja toimialaryhmäkohtaiset työllisyys ja tuottavuusennusteet. Ohjeistus on otettu käyttöön esimerkiksi Skotlannissa ja Uudessa-Seelannissa, joissa laskennan parametrit on estimoitu paikallisista aineistoista. Kasautumisilmiössä</w:t>
      </w:r>
      <w:r w:rsidR="00536F76">
        <w:t xml:space="preserve"> ja sen todentamisessa ja arvioinnissa on vielä useita avoimia tutkimuskysymyksiä. Tutkimus jatkuu myös Iso-Britanniassa, ja ohjeistusta muutetaan tutkimuksen edetessä. </w:t>
      </w:r>
    </w:p>
    <w:p w14:paraId="7C977264" w14:textId="137D28BF" w:rsidR="009621E8" w:rsidRDefault="009621E8" w:rsidP="009621E8">
      <w:pPr>
        <w:pStyle w:val="Heading2"/>
      </w:pPr>
      <w:bookmarkStart w:id="43" w:name="_Toc76110805"/>
      <w:r>
        <w:t>Tehokkaan tiheyden mittarin määrittäminen Suomeen</w:t>
      </w:r>
      <w:bookmarkEnd w:id="43"/>
    </w:p>
    <w:p w14:paraId="0B5E951A" w14:textId="26BD8F4A" w:rsidR="00311A14" w:rsidRDefault="00311A14" w:rsidP="00375E60">
      <w:pPr>
        <w:pStyle w:val="BodyText"/>
      </w:pPr>
      <w:r>
        <w:t xml:space="preserve">Suomeen soveltuvan tehokkaan tiheyden mittari on määritelty valitsemalla kirjallisuuskatsauksen perusteella sopiva funktiomuoto ja estimoimalla sen keskeiset parametrit Helsingin seudun liikennetutkimusaineistosta. </w:t>
      </w:r>
    </w:p>
    <w:p w14:paraId="7BDA977B" w14:textId="11BCF5E4" w:rsidR="00375E60" w:rsidRPr="00A552AC" w:rsidRDefault="00B53DDE" w:rsidP="00375E60">
      <w:pPr>
        <w:pStyle w:val="BodyText"/>
      </w:pPr>
      <w:r w:rsidRPr="00A552AC">
        <w:t>Kun tavoitteena on tarkastella tehokasta tiheyttä Börjesson et. al. (2019) tapaan potentiaalisesti endogeenisenä ilmiönä, tehokkaan tiheyden mittariksi suositellaan eriasteisesti toimialaryhmiä painottavaa mallin muotoa. Tämän Helsingin seudun liikennetutkimusaineistoista estimoidut parametrit ovat seuraavat</w:t>
      </w:r>
      <w:r w:rsidR="00375E60" w:rsidRPr="00A552AC">
        <w:t>:</w:t>
      </w:r>
    </w:p>
    <w:p w14:paraId="09E38B2F" w14:textId="77777777" w:rsidR="00EA7F71" w:rsidRPr="00A76B5E" w:rsidRDefault="00EA7F71" w:rsidP="00EA7F71">
      <w:pPr>
        <w:pStyle w:val="BodyText"/>
      </w:pPr>
      <w:r>
        <w:rPr>
          <w:rFonts w:eastAsiaTheme="minorEastAsia"/>
          <w:iCs/>
        </w:rPr>
        <w:t>(7)</w:t>
      </w:r>
      <w:r>
        <w:rPr>
          <w:rFonts w:eastAsiaTheme="minorEastAsia"/>
          <w:iCs/>
        </w:rPr>
        <w:tab/>
      </w:r>
      <m:oMath>
        <m:sSub>
          <m:sSubPr>
            <m:ctrlPr>
              <w:rPr>
                <w:rFonts w:ascii="Cambria Math" w:hAnsi="Cambria Math"/>
                <w:i/>
                <w:iCs/>
              </w:rPr>
            </m:ctrlPr>
          </m:sSubPr>
          <m:e>
            <m:r>
              <w:rPr>
                <w:rFonts w:ascii="Cambria Math" w:hAnsi="Cambria Math"/>
              </w:rPr>
              <m:t>A</m:t>
            </m:r>
          </m:e>
          <m:sub>
            <m:r>
              <w:rPr>
                <w:rFonts w:ascii="Cambria Math" w:hAnsi="Cambria Math"/>
              </w:rPr>
              <m:t>rt</m:t>
            </m:r>
          </m:sub>
        </m:sSub>
        <m:r>
          <w:rPr>
            <w:rFonts w:ascii="Cambria Math" w:hAnsi="Cambria Math"/>
          </w:rPr>
          <m:t>= </m:t>
        </m:r>
        <m:nary>
          <m:naryPr>
            <m:chr m:val="∑"/>
            <m:supHide m:val="1"/>
            <m:ctrlPr>
              <w:rPr>
                <w:rFonts w:ascii="Cambria Math" w:hAnsi="Cambria Math"/>
                <w:i/>
                <w:iCs/>
              </w:rPr>
            </m:ctrlPr>
          </m:naryPr>
          <m:sub>
            <m:sSup>
              <m:sSupPr>
                <m:ctrlPr>
                  <w:rPr>
                    <w:rFonts w:ascii="Cambria Math" w:hAnsi="Cambria Math"/>
                    <w:i/>
                    <w:iCs/>
                  </w:rPr>
                </m:ctrlPr>
              </m:sSupPr>
              <m:e>
                <m:r>
                  <w:rPr>
                    <w:rFonts w:ascii="Cambria Math" w:hAnsi="Cambria Math"/>
                  </w:rPr>
                  <m:t>r</m:t>
                </m:r>
              </m:e>
              <m:sup>
                <m:r>
                  <w:rPr>
                    <w:rFonts w:ascii="Cambria Math" w:hAnsi="Cambria Math"/>
                  </w:rPr>
                  <m:t>'</m:t>
                </m:r>
              </m:sup>
            </m:sSup>
            <m:r>
              <w:rPr>
                <w:rFonts w:ascii="Cambria Math" w:hAnsi="Cambria Math"/>
              </w:rPr>
              <m:t>∈R</m:t>
            </m:r>
          </m:sub>
          <m:sup/>
          <m:e>
            <m:sSub>
              <m:sSubPr>
                <m:ctrlPr>
                  <w:rPr>
                    <w:rFonts w:ascii="Cambria Math" w:hAnsi="Cambria Math"/>
                    <w:i/>
                    <w:iCs/>
                  </w:rPr>
                </m:ctrlPr>
              </m:sSubPr>
              <m:e>
                <m:sSub>
                  <m:sSubPr>
                    <m:ctrlPr>
                      <w:rPr>
                        <w:rFonts w:ascii="Cambria Math" w:hAnsi="Cambria Math"/>
                        <w:i/>
                        <w:iCs/>
                      </w:rPr>
                    </m:ctrlPr>
                  </m:sSubPr>
                  <m:e>
                    <m:r>
                      <w:rPr>
                        <w:rFonts w:ascii="Cambria Math" w:hAnsi="Cambria Math"/>
                      </w:rPr>
                      <m:t>(a</m:t>
                    </m:r>
                  </m:e>
                  <m:sub>
                    <m:r>
                      <w:rPr>
                        <w:rFonts w:ascii="Cambria Math" w:hAnsi="Cambria Math"/>
                      </w:rPr>
                      <m:t>1</m:t>
                    </m:r>
                  </m:sub>
                </m:sSub>
                <m:r>
                  <w:rPr>
                    <w:rFonts w:ascii="Cambria Math" w:hAnsi="Cambria Math"/>
                  </w:rPr>
                  <m:t>n</m:t>
                </m:r>
              </m:e>
              <m:sub>
                <m:r>
                  <w:rPr>
                    <w:rFonts w:ascii="Cambria Math" w:hAnsi="Cambria Math"/>
                  </w:rPr>
                  <m:t>1t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sSub>
              <m:sSubPr>
                <m:ctrlPr>
                  <w:rPr>
                    <w:rFonts w:ascii="Cambria Math" w:hAnsi="Cambria Math"/>
                    <w:i/>
                    <w:iCs/>
                  </w:rPr>
                </m:ctrlPr>
              </m:sSubPr>
              <m:e>
                <m:r>
                  <w:rPr>
                    <w:rFonts w:ascii="Cambria Math" w:hAnsi="Cambria Math"/>
                  </w:rPr>
                  <m:t> </m:t>
                </m:r>
                <m:sSub>
                  <m:sSubPr>
                    <m:ctrlPr>
                      <w:rPr>
                        <w:rFonts w:ascii="Cambria Math" w:hAnsi="Cambria Math"/>
                        <w:i/>
                        <w:iCs/>
                      </w:rPr>
                    </m:ctrlPr>
                  </m:sSubPr>
                  <m:e>
                    <m:r>
                      <w:rPr>
                        <w:rFonts w:ascii="Cambria Math" w:hAnsi="Cambria Math"/>
                      </w:rPr>
                      <m:t> a</m:t>
                    </m:r>
                  </m:e>
                  <m:sub>
                    <m:r>
                      <w:rPr>
                        <w:rFonts w:ascii="Cambria Math" w:hAnsi="Cambria Math"/>
                      </w:rPr>
                      <m:t>2</m:t>
                    </m:r>
                  </m:sub>
                </m:sSub>
                <m:r>
                  <w:rPr>
                    <w:rFonts w:ascii="Cambria Math" w:hAnsi="Cambria Math"/>
                  </w:rPr>
                  <m:t>n</m:t>
                </m:r>
              </m:e>
              <m:sub>
                <m:r>
                  <w:rPr>
                    <w:rFonts w:ascii="Cambria Math" w:hAnsi="Cambria Math"/>
                  </w:rPr>
                  <m:t>2t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sSub>
              <m:sSubPr>
                <m:ctrlPr>
                  <w:rPr>
                    <w:rFonts w:ascii="Cambria Math" w:hAnsi="Cambria Math"/>
                    <w:i/>
                    <w:iCs/>
                  </w:rPr>
                </m:ctrlPr>
              </m:sSubPr>
              <m:e>
                <m:sSub>
                  <m:sSubPr>
                    <m:ctrlPr>
                      <w:rPr>
                        <w:rFonts w:ascii="Cambria Math" w:hAnsi="Cambria Math"/>
                        <w:i/>
                        <w:iCs/>
                      </w:rPr>
                    </m:ctrlPr>
                  </m:sSubPr>
                  <m:e>
                    <m:r>
                      <w:rPr>
                        <w:rFonts w:ascii="Cambria Math" w:hAnsi="Cambria Math"/>
                      </w:rPr>
                      <m:t>a</m:t>
                    </m:r>
                  </m:e>
                  <m:sub>
                    <m:r>
                      <w:rPr>
                        <w:rFonts w:ascii="Cambria Math" w:hAnsi="Cambria Math"/>
                      </w:rPr>
                      <m:t>3</m:t>
                    </m:r>
                  </m:sub>
                </m:sSub>
                <m:r>
                  <w:rPr>
                    <w:rFonts w:ascii="Cambria Math" w:hAnsi="Cambria Math"/>
                  </w:rPr>
                  <m:t>n</m:t>
                </m:r>
              </m:e>
              <m:sub>
                <m:r>
                  <w:rPr>
                    <w:rFonts w:ascii="Cambria Math" w:hAnsi="Cambria Math"/>
                  </w:rPr>
                  <m:t>3t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sSub>
              <m:sSubPr>
                <m:ctrlPr>
                  <w:rPr>
                    <w:rFonts w:ascii="Cambria Math" w:hAnsi="Cambria Math"/>
                    <w:i/>
                    <w:iCs/>
                  </w:rPr>
                </m:ctrlPr>
              </m:sSubPr>
              <m:e>
                <m:r>
                  <w:rPr>
                    <w:rFonts w:ascii="Cambria Math" w:hAnsi="Cambria Math"/>
                  </w:rPr>
                  <m:t> </m:t>
                </m:r>
                <m:sSub>
                  <m:sSubPr>
                    <m:ctrlPr>
                      <w:rPr>
                        <w:rFonts w:ascii="Cambria Math" w:hAnsi="Cambria Math"/>
                        <w:i/>
                        <w:iCs/>
                      </w:rPr>
                    </m:ctrlPr>
                  </m:sSubPr>
                  <m:e>
                    <m:r>
                      <w:rPr>
                        <w:rFonts w:ascii="Cambria Math" w:hAnsi="Cambria Math"/>
                      </w:rPr>
                      <m:t>a</m:t>
                    </m:r>
                  </m:e>
                  <m:sub>
                    <m:r>
                      <w:rPr>
                        <w:rFonts w:ascii="Cambria Math" w:hAnsi="Cambria Math"/>
                      </w:rPr>
                      <m:t>4</m:t>
                    </m:r>
                  </m:sub>
                </m:sSub>
                <m:r>
                  <w:rPr>
                    <w:rFonts w:ascii="Cambria Math" w:hAnsi="Cambria Math"/>
                  </w:rPr>
                  <m:t>n</m:t>
                </m:r>
              </m:e>
              <m:sub>
                <m:r>
                  <w:rPr>
                    <w:rFonts w:ascii="Cambria Math" w:hAnsi="Cambria Math"/>
                  </w:rPr>
                  <m:t>4t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sSub>
              <m:sSubPr>
                <m:ctrlPr>
                  <w:rPr>
                    <w:rFonts w:ascii="Cambria Math" w:hAnsi="Cambria Math"/>
                    <w:i/>
                    <w:iCs/>
                  </w:rPr>
                </m:ctrlPr>
              </m:sSubPr>
              <m:e>
                <m:r>
                  <w:rPr>
                    <w:rFonts w:ascii="Cambria Math" w:hAnsi="Cambria Math"/>
                  </w:rPr>
                  <m:t> </m:t>
                </m:r>
                <m:sSub>
                  <m:sSubPr>
                    <m:ctrlPr>
                      <w:rPr>
                        <w:rFonts w:ascii="Cambria Math" w:hAnsi="Cambria Math"/>
                        <w:i/>
                        <w:iCs/>
                      </w:rPr>
                    </m:ctrlPr>
                  </m:sSubPr>
                  <m:e>
                    <m:r>
                      <w:rPr>
                        <w:rFonts w:ascii="Cambria Math" w:hAnsi="Cambria Math"/>
                      </w:rPr>
                      <m:t>a</m:t>
                    </m:r>
                  </m:e>
                  <m:sub>
                    <m:r>
                      <w:rPr>
                        <w:rFonts w:ascii="Cambria Math" w:hAnsi="Cambria Math"/>
                      </w:rPr>
                      <m:t>5</m:t>
                    </m:r>
                  </m:sub>
                </m:sSub>
                <m:r>
                  <w:rPr>
                    <w:rFonts w:ascii="Cambria Math" w:hAnsi="Cambria Math"/>
                  </w:rPr>
                  <m:t>n</m:t>
                </m:r>
              </m:e>
              <m:sub>
                <m:r>
                  <w:rPr>
                    <w:rFonts w:ascii="Cambria Math" w:hAnsi="Cambria Math"/>
                  </w:rPr>
                  <m:t>5t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sSup>
              <m:sSupPr>
                <m:ctrlPr>
                  <w:rPr>
                    <w:rFonts w:ascii="Cambria Math" w:hAnsi="Cambria Math"/>
                    <w:i/>
                    <w:iCs/>
                  </w:rPr>
                </m:ctrlPr>
              </m:sSupPr>
              <m:e>
                <m:r>
                  <w:rPr>
                    <w:rFonts w:ascii="Cambria Math" w:hAnsi="Cambria Math"/>
                  </w:rPr>
                  <m:t>e</m:t>
                </m:r>
              </m:e>
              <m:sup>
                <m:r>
                  <w:rPr>
                    <w:rFonts w:ascii="Cambria Math" w:hAnsi="Cambria Math"/>
                  </w:rPr>
                  <m:t>b*</m:t>
                </m:r>
                <m:sSub>
                  <m:sSubPr>
                    <m:ctrlPr>
                      <w:rPr>
                        <w:rFonts w:ascii="Cambria Math" w:hAnsi="Cambria Math"/>
                        <w:i/>
                        <w:iCs/>
                      </w:rPr>
                    </m:ctrlPr>
                  </m:sSubPr>
                  <m:e>
                    <m:r>
                      <w:rPr>
                        <w:rFonts w:ascii="Cambria Math" w:hAnsi="Cambria Math"/>
                      </w:rPr>
                      <m:t>gc</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sup>
            </m:sSup>
          </m:e>
        </m:nary>
      </m:oMath>
    </w:p>
    <w:p w14:paraId="795F365B" w14:textId="77777777" w:rsidR="00EA7F71" w:rsidRPr="00A76B5E" w:rsidRDefault="0040610B" w:rsidP="00EA7F71">
      <w:pPr>
        <w:pStyle w:val="BodyText"/>
      </w:pPr>
      <m:oMath>
        <m:sSub>
          <m:sSubPr>
            <m:ctrlPr>
              <w:rPr>
                <w:rFonts w:ascii="Cambria Math" w:hAnsi="Cambria Math"/>
                <w:i/>
                <w:iCs/>
              </w:rPr>
            </m:ctrlPr>
          </m:sSubPr>
          <m:e>
            <m:r>
              <w:rPr>
                <w:rFonts w:ascii="Cambria Math" w:hAnsi="Cambria Math"/>
              </w:rPr>
              <m:t>A</m:t>
            </m:r>
          </m:e>
          <m:sub>
            <m:r>
              <w:rPr>
                <w:rFonts w:ascii="Cambria Math" w:hAnsi="Cambria Math"/>
              </w:rPr>
              <m:t>rt</m:t>
            </m:r>
          </m:sub>
        </m:sSub>
      </m:oMath>
      <w:r w:rsidR="00EA7F71" w:rsidRPr="00A76B5E">
        <w:t xml:space="preserve"> = Alueen r tehokas tiheys ajan hetkellä t</w:t>
      </w:r>
    </w:p>
    <w:p w14:paraId="54B5284F" w14:textId="5DACB41B" w:rsidR="00EA7F71" w:rsidRPr="00A76B5E" w:rsidRDefault="0040610B" w:rsidP="00EA7F71">
      <w:pPr>
        <w:pStyle w:val="BodyText"/>
      </w:pPr>
      <m:oMath>
        <m:sSub>
          <m:sSubPr>
            <m:ctrlPr>
              <w:rPr>
                <w:rFonts w:ascii="Cambria Math" w:hAnsi="Cambria Math"/>
                <w:i/>
                <w:iCs/>
              </w:rPr>
            </m:ctrlPr>
          </m:sSubPr>
          <m:e>
            <m:r>
              <w:rPr>
                <w:rFonts w:ascii="Cambria Math" w:hAnsi="Cambria Math"/>
              </w:rPr>
              <m:t>gc</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oMath>
      <w:r w:rsidR="00EA7F71" w:rsidRPr="00A76B5E">
        <w:t xml:space="preserve"> = </w:t>
      </w:r>
      <w:r w:rsidR="00EA7F71">
        <w:t xml:space="preserve">Kulkutapojen osuuksilla painotettu </w:t>
      </w:r>
      <w:r w:rsidR="00EA7F71" w:rsidRPr="00A76B5E">
        <w:t xml:space="preserve">yleistetty matkavastus alueiden </w:t>
      </w:r>
      <m:oMath>
        <m:r>
          <w:rPr>
            <w:rFonts w:ascii="Cambria Math" w:hAnsi="Cambria Math"/>
          </w:rPr>
          <m:t>r ja </m:t>
        </m:r>
        <m:sSup>
          <m:sSupPr>
            <m:ctrlPr>
              <w:rPr>
                <w:rFonts w:ascii="Cambria Math" w:hAnsi="Cambria Math"/>
                <w:i/>
                <w:iCs/>
              </w:rPr>
            </m:ctrlPr>
          </m:sSupPr>
          <m:e>
            <m:r>
              <w:rPr>
                <w:rFonts w:ascii="Cambria Math" w:hAnsi="Cambria Math"/>
              </w:rPr>
              <m:t>r</m:t>
            </m:r>
          </m:e>
          <m:sup>
            <m:r>
              <w:rPr>
                <w:rFonts w:ascii="Cambria Math" w:hAnsi="Cambria Math"/>
              </w:rPr>
              <m:t>'</m:t>
            </m:r>
          </m:sup>
        </m:sSup>
      </m:oMath>
      <w:r w:rsidR="00EA7F71" w:rsidRPr="00A76B5E">
        <w:t xml:space="preserve"> välillä ajan hetkellä t</w:t>
      </w:r>
    </w:p>
    <w:p w14:paraId="44D8443A" w14:textId="77777777" w:rsidR="00EA7F71" w:rsidRPr="00A76B5E" w:rsidRDefault="0040610B" w:rsidP="00EA7F71">
      <w:pPr>
        <w:pStyle w:val="BodyText"/>
      </w:pPr>
      <m:oMath>
        <m:sSub>
          <m:sSubPr>
            <m:ctrlPr>
              <w:rPr>
                <w:rFonts w:ascii="Cambria Math" w:hAnsi="Cambria Math"/>
                <w:i/>
                <w:iCs/>
              </w:rPr>
            </m:ctrlPr>
          </m:sSubPr>
          <m:e>
            <m:r>
              <w:rPr>
                <w:rFonts w:ascii="Cambria Math" w:hAnsi="Cambria Math"/>
              </w:rPr>
              <m:t>n</m:t>
            </m:r>
          </m:e>
          <m:sub>
            <m:r>
              <w:rPr>
                <w:rFonts w:ascii="Cambria Math" w:hAnsi="Cambria Math"/>
              </w:rPr>
              <m:t>mt</m:t>
            </m:r>
            <m:sSup>
              <m:sSupPr>
                <m:ctrlPr>
                  <w:rPr>
                    <w:rFonts w:ascii="Cambria Math" w:hAnsi="Cambria Math"/>
                    <w:i/>
                    <w:iCs/>
                  </w:rPr>
                </m:ctrlPr>
              </m:sSupPr>
              <m:e>
                <m:r>
                  <w:rPr>
                    <w:rFonts w:ascii="Cambria Math" w:hAnsi="Cambria Math"/>
                  </w:rPr>
                  <m:t>r</m:t>
                </m:r>
              </m:e>
              <m:sup>
                <m:r>
                  <w:rPr>
                    <w:rFonts w:ascii="Cambria Math" w:hAnsi="Cambria Math"/>
                  </w:rPr>
                  <m:t>'</m:t>
                </m:r>
              </m:sup>
            </m:sSup>
          </m:sub>
        </m:sSub>
      </m:oMath>
      <w:r w:rsidR="00EA7F71" w:rsidRPr="00A76B5E">
        <w:t xml:space="preserve"> = alueen </w:t>
      </w:r>
      <m:oMath>
        <m:sSup>
          <m:sSupPr>
            <m:ctrlPr>
              <w:rPr>
                <w:rFonts w:ascii="Cambria Math" w:hAnsi="Cambria Math"/>
                <w:i/>
                <w:iCs/>
              </w:rPr>
            </m:ctrlPr>
          </m:sSupPr>
          <m:e>
            <m:r>
              <w:rPr>
                <w:rFonts w:ascii="Cambria Math" w:hAnsi="Cambria Math"/>
              </w:rPr>
              <m:t>r</m:t>
            </m:r>
          </m:e>
          <m:sup>
            <m:r>
              <w:rPr>
                <w:rFonts w:ascii="Cambria Math" w:hAnsi="Cambria Math"/>
              </w:rPr>
              <m:t>'</m:t>
            </m:r>
          </m:sup>
        </m:sSup>
      </m:oMath>
      <w:r w:rsidR="00EA7F71" w:rsidRPr="00A76B5E">
        <w:t xml:space="preserve"> työpaikkamäärä toimialalla m ajan hetkellä t</w:t>
      </w:r>
    </w:p>
    <w:p w14:paraId="37BE43A1" w14:textId="77777777" w:rsidR="00EA7F71" w:rsidRPr="00A76B5E" w:rsidRDefault="00EA7F71" w:rsidP="00EA7F71">
      <w:pPr>
        <w:pStyle w:val="BodyText"/>
      </w:pPr>
      <w:r w:rsidRPr="00A76B5E">
        <w:t>b = estimoitu vaimennusparametri</w:t>
      </w:r>
      <w:r>
        <w:t xml:space="preserve"> -0,4430</w:t>
      </w:r>
    </w:p>
    <w:p w14:paraId="07F530D0" w14:textId="3355B7F4" w:rsidR="000301E2" w:rsidRDefault="0040610B" w:rsidP="000301E2">
      <w:pPr>
        <w:pStyle w:val="BodyText"/>
      </w:pPr>
      <m:oMath>
        <m:sSub>
          <m:sSubPr>
            <m:ctrlPr>
              <w:rPr>
                <w:rFonts w:ascii="Cambria Math" w:hAnsi="Cambria Math"/>
                <w:i/>
                <w:iCs/>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a</m:t>
            </m:r>
          </m:e>
          <m:sub>
            <m:r>
              <w:rPr>
                <w:rFonts w:ascii="Cambria Math" w:hAnsi="Cambria Math"/>
              </w:rPr>
              <m:t>5</m:t>
            </m:r>
          </m:sub>
        </m:sSub>
        <m:r>
          <w:rPr>
            <w:rFonts w:ascii="Cambria Math" w:hAnsi="Cambria Math"/>
          </w:rPr>
          <m:t>=</m:t>
        </m:r>
      </m:oMath>
      <w:r w:rsidR="000301E2" w:rsidRPr="004B2F7F">
        <w:t xml:space="preserve"> Toimialojen työpaikkamäärän kerroin Palvelut =0,1010, Kauppa = 0,0893, Kuljetus = 0,0413, Teollisuus = 0,1288, Muut = 0,0333. Kertoimet on skaalattu niin, että suurin tehokas tiheys saa arvon 1000 vuoden 2020 tilanteessa.</w:t>
      </w:r>
    </w:p>
    <w:p w14:paraId="0E279211" w14:textId="59CA3233" w:rsidR="00913005" w:rsidRDefault="00375E60" w:rsidP="00EA7F71">
      <w:pPr>
        <w:pStyle w:val="BodyText"/>
      </w:pPr>
      <w:r>
        <w:t xml:space="preserve">Tehokas tiheys määritetään </w:t>
      </w:r>
      <w:r w:rsidR="00EA7F71">
        <w:t xml:space="preserve">mahdollisimman tarkalle aluejaolle, ja mittarin arvo voidaan yhdistää suurempaan aluejakoon </w:t>
      </w:r>
      <w:r>
        <w:t>lähtöalueen työpaikkojen määrän suhteen painotettuna aritmeettisena keskiarvona.</w:t>
      </w:r>
      <w:r w:rsidR="00EA7F71">
        <w:t xml:space="preserve"> T</w:t>
      </w:r>
      <w:r>
        <w:t xml:space="preserve">alouden massan mittana </w:t>
      </w:r>
      <w:r w:rsidR="00EA7F71">
        <w:t xml:space="preserve">käytetään </w:t>
      </w:r>
      <w:r>
        <w:t>työpaikkojen lukumäärää. Etäisyysmittana käytetään osa-alueparin välist</w:t>
      </w:r>
      <w:r w:rsidR="00311A14">
        <w:t>en työperäisten matkojen</w:t>
      </w:r>
      <w:r>
        <w:t xml:space="preserve"> yleistettyä matkakustannusta</w:t>
      </w:r>
      <w:r w:rsidR="00EA7F71">
        <w:t xml:space="preserve"> yli kaikkien mallissa mukana olevien kulkutapojen. Vaimennusparametri ja </w:t>
      </w:r>
      <w:r w:rsidR="00B33B17">
        <w:t xml:space="preserve">toimialakohtaiset </w:t>
      </w:r>
      <w:r w:rsidR="00EA7F71">
        <w:t xml:space="preserve">työpaikkamäärien kertoimet on tässä työssä estimoitu Helsingin seudun liikennemallialueen työperäisistä matkoista. </w:t>
      </w:r>
      <w:r w:rsidR="00311A14">
        <w:t xml:space="preserve">Työn kuluessa </w:t>
      </w:r>
      <w:r w:rsidR="00311A14" w:rsidRPr="00A552AC">
        <w:t>on havaittu, että parametreja tulisi tarkastella uudelleen tuot</w:t>
      </w:r>
      <w:r w:rsidR="000F2EC9" w:rsidRPr="00A552AC">
        <w:t>tavuusjoustojen</w:t>
      </w:r>
      <w:r w:rsidR="00311A14" w:rsidRPr="00A552AC">
        <w:t xml:space="preserve"> estimoinnissa.</w:t>
      </w:r>
      <w:r w:rsidR="00944ECC" w:rsidRPr="00A552AC">
        <w:t xml:space="preserve"> Vaimenemisparametri voi olla perusteltua estimoida toimialaryhmittäin.</w:t>
      </w:r>
    </w:p>
    <w:p w14:paraId="3D4BD39D" w14:textId="2F16C9FE" w:rsidR="004D4E63" w:rsidRPr="00A34EB9" w:rsidRDefault="00311A14" w:rsidP="00A34EB9">
      <w:pPr>
        <w:pStyle w:val="BodyText"/>
      </w:pPr>
      <w:r>
        <w:t>Ehdotetulla tehokkaan tiheyden mittarilla tehtiin esimerkkitarkasteluja Helsingin seudun</w:t>
      </w:r>
      <w:r w:rsidR="000F2EC9">
        <w:t xml:space="preserve"> liikennejärjestelmän vuosien 2016, 2020 ja 2030 skenaarioilla. Tehokkaan tiheyden mittarin todettiin toimivan loogisesti tuoden esille joukkoliikennejärjestelmän parantamisen tiheyttä lisäävän vaikutuksen ohella autoliikenteen hidastamisen ja maksujen tiheyttä vähentävän vaikutuksen. Esimerkkitarkasteluista nousee kiinnostavia kysymyksiä tuottavuusjoustojen estimointiin, kuten vaikuttaako autoliikenteen vastuksen lisäämisestä johtuva tehokkaan tiheyden pieneneminen samalla tavalla tuottavuuteen kuin joukkoliikenneyhteyksien parantamisesta johtuva tehokkaan tiheyden suureneminen.</w:t>
      </w:r>
      <w:r w:rsidR="008C04C8">
        <w:t xml:space="preserve"> </w:t>
      </w:r>
    </w:p>
    <w:p w14:paraId="26BBE6E0" w14:textId="7766C977" w:rsidR="009621E8" w:rsidRDefault="009621E8" w:rsidP="009621E8">
      <w:pPr>
        <w:pStyle w:val="Heading2"/>
      </w:pPr>
      <w:bookmarkStart w:id="44" w:name="_Toc76110806"/>
      <w:r>
        <w:lastRenderedPageBreak/>
        <w:t>Suositukset jatkotoimista</w:t>
      </w:r>
      <w:bookmarkEnd w:id="44"/>
    </w:p>
    <w:p w14:paraId="7BAF1591" w14:textId="77777777" w:rsidR="002D32AD" w:rsidRDefault="000F2EC9" w:rsidP="00EA7F71">
      <w:pPr>
        <w:pStyle w:val="BodyText"/>
      </w:pPr>
      <w:r>
        <w:t>Tämän selvityksen tuloksena on suositus tehokkaan tiheyden mittarin perusmallista, aluejaosta ja taloudellisen massan mitasta. Vaimenemisparametrin ja toimialaryhmittäisten kertoimien estimointi on tehty Helsingin liikennetutkimusaineistolla</w:t>
      </w:r>
      <w:r w:rsidR="002D32AD">
        <w:t xml:space="preserve">. Etenkin vaimenemisparametrista on tehtävä herkkyystarkastelua jatkotutkimuksissa. </w:t>
      </w:r>
    </w:p>
    <w:p w14:paraId="56DEF86E" w14:textId="06104335" w:rsidR="002D32AD" w:rsidRDefault="00913005" w:rsidP="00EA7F71">
      <w:pPr>
        <w:pStyle w:val="BodyText"/>
      </w:pPr>
      <w:r>
        <w:t>Kasautumisvaikutusten arvioinnin tutkimus- ja kehityskokonaisuuden seuraava vaihe on toimialakohtaisten tuottavuusjoustojen määrittäminen tuotantofunktion estimoinnilla</w:t>
      </w:r>
      <w:r w:rsidR="002D32AD">
        <w:t>, johon on käytettävissä tarvittavat pitkittäisaineistot</w:t>
      </w:r>
      <w:r>
        <w:t xml:space="preserve">. </w:t>
      </w:r>
      <w:r w:rsidR="006E177B">
        <w:t xml:space="preserve">Tuotantofunktion estimointi </w:t>
      </w:r>
      <w:r w:rsidR="006E177B" w:rsidRPr="00A552AC">
        <w:t>olisi perusteltua tehdä Helsingin seudun lisäksi esimerkiksi Turun seudulla sekä valtakunnallisella tasolla</w:t>
      </w:r>
      <w:r w:rsidR="002D32AD" w:rsidRPr="00A552AC">
        <w:t xml:space="preserve"> alueellisten erojen selvittämiseksi</w:t>
      </w:r>
      <w:r w:rsidR="006E177B" w:rsidRPr="00A552AC">
        <w:t>.</w:t>
      </w:r>
      <w:r w:rsidR="00944ECC" w:rsidRPr="00A552AC">
        <w:t xml:space="preserve"> Tutkimus tuottavuusjoustoista antaa myös vastauksen siihen kysymykseen, löydetäänkö Suomen liikennehankkeille kasautumishyötyjä, jotka ovat nettolisäystä suoriin käyttäjähyötyihin verrattuna.</w:t>
      </w:r>
    </w:p>
    <w:p w14:paraId="65E4E71A" w14:textId="059CD322" w:rsidR="009D3158" w:rsidRDefault="00394C3B" w:rsidP="00EA7F71">
      <w:pPr>
        <w:pStyle w:val="BodyText"/>
      </w:pPr>
      <w:r>
        <w:t>Tutkimustyön rinnalla kasautumisvaikutuksia käsitellään liikennejärjestelmän arvioinneissa eri suunnittelutilanteissa liikenne- ja viestintäministeriön tarkastelukehikon mukaisesti. Tämä tarkoittaa sitä, että ilmiötä voidaan arvioida työperäisten matkojen matkavastusmuutosten avulla esimerkiksi osoittaen niiden alueellisia eroja. Kasautumisesta johtuvien tuottavuushyötyjen todetaan olevan edelleen tutkimuksen kohteena. Aiemman tutkimuksen perusteella voidaan kuitenkin varsin luotettavasti todeta myös se, että liikennejärjestelmän muutosten käyttäjähyö</w:t>
      </w:r>
      <w:r w:rsidR="00153FAF">
        <w:t>tyjen</w:t>
      </w:r>
      <w:r>
        <w:t xml:space="preserve"> eli aika- ja kustannussäästö</w:t>
      </w:r>
      <w:r w:rsidR="00153FAF">
        <w:t xml:space="preserve">jen lisäksi ei pääsääntöisesti ole merkityksellisiä </w:t>
      </w:r>
      <w:r>
        <w:t>kasautumis</w:t>
      </w:r>
      <w:r w:rsidR="00153FAF">
        <w:t>hyötyjä</w:t>
      </w:r>
      <w:r>
        <w:t xml:space="preserve">. </w:t>
      </w:r>
    </w:p>
    <w:p w14:paraId="6C5C681C" w14:textId="2687F9EF" w:rsidR="00B13276" w:rsidRDefault="00B13276" w:rsidP="00EA7F71">
      <w:pPr>
        <w:pStyle w:val="BodyText"/>
      </w:pPr>
      <w:r>
        <w:t xml:space="preserve">Kasautumisvaikutusten arvioinnin kehitystyön tavoitetilana voidaan toistaiseksi pitää Iso-Britannian esimerkkiä siitä, että arviointiohjeissa on tutkimukseen perustuva malli parametreineen ja selvät rajaukset sen käyttökohteista. Liikennejärjestelmäsuunnitelmien arvioinnin rinnalla kasautumisvaikutusten arvioinnilla on potentiaalisia käyttökohteita maankäytön suunnitelmien arvioinnissa sekä liikenteen ja maankäytön yhteisten suunnitelmien arvioinnissa. </w:t>
      </w:r>
    </w:p>
    <w:bookmarkEnd w:id="41"/>
    <w:p w14:paraId="2A3649AF" w14:textId="77777777" w:rsidR="009621E8" w:rsidRPr="001849C3" w:rsidRDefault="009621E8" w:rsidP="00EA7F71">
      <w:pPr>
        <w:pStyle w:val="BodyText"/>
      </w:pPr>
    </w:p>
    <w:p w14:paraId="08C0994E" w14:textId="77777777" w:rsidR="00D577E9" w:rsidRPr="00F369C7" w:rsidRDefault="00D577E9" w:rsidP="00D577E9">
      <w:pPr>
        <w:pStyle w:val="BodyText"/>
      </w:pPr>
      <w:r w:rsidRPr="00F369C7">
        <w:br w:type="page"/>
      </w:r>
    </w:p>
    <w:p w14:paraId="5FC60CD1" w14:textId="77777777" w:rsidR="00D577E9" w:rsidRDefault="00D577E9" w:rsidP="00D577E9">
      <w:pPr>
        <w:pStyle w:val="Heading1"/>
        <w:rPr>
          <w:rFonts w:asciiTheme="minorHAnsi" w:hAnsiTheme="minorHAnsi"/>
        </w:rPr>
      </w:pPr>
      <w:bookmarkStart w:id="45" w:name="_Toc76110807"/>
      <w:r w:rsidRPr="00F369C7">
        <w:rPr>
          <w:rFonts w:asciiTheme="minorHAnsi" w:hAnsiTheme="minorHAnsi"/>
        </w:rPr>
        <w:lastRenderedPageBreak/>
        <w:t>Lähdeluettelo</w:t>
      </w:r>
      <w:bookmarkEnd w:id="45"/>
    </w:p>
    <w:p w14:paraId="4BE692B4" w14:textId="77777777" w:rsidR="00044143" w:rsidRDefault="00044143" w:rsidP="00044143"/>
    <w:p w14:paraId="61DF97BF" w14:textId="57C8CAD8" w:rsidR="00F37EA5" w:rsidRPr="00630CCA" w:rsidRDefault="00F37EA5" w:rsidP="00F37EA5">
      <w:pPr>
        <w:pStyle w:val="BodyText"/>
        <w:rPr>
          <w:shd w:val="clear" w:color="auto" w:fill="FFFFFF"/>
          <w:lang w:val="en-US"/>
        </w:rPr>
      </w:pPr>
      <w:r w:rsidRPr="00627B14">
        <w:rPr>
          <w:shd w:val="clear" w:color="auto" w:fill="FFFFFF"/>
          <w:lang w:val="sv-FI"/>
        </w:rPr>
        <w:t xml:space="preserve">Ahlfeldt, G.M. ja Feddersen, A. </w:t>
      </w:r>
      <w:r w:rsidR="00D92DD0" w:rsidRPr="00627B14">
        <w:rPr>
          <w:shd w:val="clear" w:color="auto" w:fill="FFFFFF"/>
          <w:lang w:val="sv-FI"/>
        </w:rPr>
        <w:t>(</w:t>
      </w:r>
      <w:r w:rsidRPr="00627B14">
        <w:rPr>
          <w:shd w:val="clear" w:color="auto" w:fill="FFFFFF"/>
          <w:lang w:val="sv-FI"/>
        </w:rPr>
        <w:t>2018</w:t>
      </w:r>
      <w:r w:rsidR="00D92DD0" w:rsidRPr="00627B14">
        <w:rPr>
          <w:shd w:val="clear" w:color="auto" w:fill="FFFFFF"/>
          <w:lang w:val="sv-FI"/>
        </w:rPr>
        <w:t>)</w:t>
      </w:r>
      <w:r w:rsidRPr="00627B14">
        <w:rPr>
          <w:shd w:val="clear" w:color="auto" w:fill="FFFFFF"/>
          <w:lang w:val="sv-FI"/>
        </w:rPr>
        <w:t xml:space="preserve">. </w:t>
      </w:r>
      <w:r w:rsidRPr="00630CCA">
        <w:rPr>
          <w:shd w:val="clear" w:color="auto" w:fill="FFFFFF"/>
          <w:lang w:val="en-US"/>
        </w:rPr>
        <w:t>From periphery to core: measuring agglomeration effects using high-speed rail. Journal of Economic Geography, 18(2), pp.355-390.</w:t>
      </w:r>
    </w:p>
    <w:p w14:paraId="59CD7172" w14:textId="6C5D5A7B" w:rsidR="00F37EA5" w:rsidRPr="00630CCA" w:rsidRDefault="00F37EA5" w:rsidP="00F37EA5">
      <w:pPr>
        <w:pStyle w:val="BodyText"/>
        <w:rPr>
          <w:shd w:val="clear" w:color="auto" w:fill="FFFFFF"/>
          <w:lang w:val="en-US"/>
        </w:rPr>
      </w:pPr>
      <w:r w:rsidRPr="00375E60">
        <w:rPr>
          <w:shd w:val="clear" w:color="auto" w:fill="FFFFFF"/>
          <w:lang w:val="en-US"/>
        </w:rPr>
        <w:t xml:space="preserve">Ahlfeldt, G.M. ja Pietrostefani, E. </w:t>
      </w:r>
      <w:r w:rsidR="00D92DD0" w:rsidRPr="00375E60">
        <w:rPr>
          <w:shd w:val="clear" w:color="auto" w:fill="FFFFFF"/>
          <w:lang w:val="en-US"/>
        </w:rPr>
        <w:t>(</w:t>
      </w:r>
      <w:r w:rsidRPr="00375E60">
        <w:rPr>
          <w:shd w:val="clear" w:color="auto" w:fill="FFFFFF"/>
          <w:lang w:val="en-US"/>
        </w:rPr>
        <w:t>2019</w:t>
      </w:r>
      <w:r w:rsidR="00D92DD0" w:rsidRPr="00375E60">
        <w:rPr>
          <w:shd w:val="clear" w:color="auto" w:fill="FFFFFF"/>
          <w:lang w:val="en-US"/>
        </w:rPr>
        <w:t>)</w:t>
      </w:r>
      <w:r w:rsidRPr="00375E60">
        <w:rPr>
          <w:shd w:val="clear" w:color="auto" w:fill="FFFFFF"/>
          <w:lang w:val="en-US"/>
        </w:rPr>
        <w:t xml:space="preserve">. </w:t>
      </w:r>
      <w:r w:rsidRPr="00630CCA">
        <w:rPr>
          <w:shd w:val="clear" w:color="auto" w:fill="FFFFFF"/>
          <w:lang w:val="en-US"/>
        </w:rPr>
        <w:t>The economic effects of density: A synthesis. Journal of Urban Economics, 111, pp.93-107.</w:t>
      </w:r>
    </w:p>
    <w:p w14:paraId="3986144E" w14:textId="19568DD3" w:rsidR="00F37EA5" w:rsidRPr="00F214CB" w:rsidRDefault="00F37EA5" w:rsidP="00F37EA5">
      <w:pPr>
        <w:pStyle w:val="BodyText"/>
        <w:rPr>
          <w:shd w:val="clear" w:color="auto" w:fill="FFFFFF"/>
          <w:lang w:val="sv-FI"/>
        </w:rPr>
      </w:pPr>
      <w:r w:rsidRPr="00630CCA">
        <w:rPr>
          <w:shd w:val="clear" w:color="auto" w:fill="FFFFFF"/>
          <w:lang w:val="en-US"/>
        </w:rPr>
        <w:t xml:space="preserve">Ahlfeldt, G.M., Redding, S.J., Sturm, D.M. ja Wolf, N. </w:t>
      </w:r>
      <w:r w:rsidR="00D92DD0">
        <w:rPr>
          <w:shd w:val="clear" w:color="auto" w:fill="FFFFFF"/>
          <w:lang w:val="en-US"/>
        </w:rPr>
        <w:t>(</w:t>
      </w:r>
      <w:r w:rsidRPr="00630CCA">
        <w:rPr>
          <w:shd w:val="clear" w:color="auto" w:fill="FFFFFF"/>
          <w:lang w:val="en-US"/>
        </w:rPr>
        <w:t>2015</w:t>
      </w:r>
      <w:r w:rsidR="00D92DD0">
        <w:rPr>
          <w:shd w:val="clear" w:color="auto" w:fill="FFFFFF"/>
          <w:lang w:val="en-US"/>
        </w:rPr>
        <w:t>)</w:t>
      </w:r>
      <w:r w:rsidRPr="00630CCA">
        <w:rPr>
          <w:shd w:val="clear" w:color="auto" w:fill="FFFFFF"/>
          <w:lang w:val="en-US"/>
        </w:rPr>
        <w:t>. The economics of density: Evidence from the Berlin Wall. </w:t>
      </w:r>
      <w:r w:rsidRPr="00F214CB">
        <w:rPr>
          <w:shd w:val="clear" w:color="auto" w:fill="FFFFFF"/>
          <w:lang w:val="sv-FI"/>
        </w:rPr>
        <w:t>Econometrica, 83(6), pp.2127-2189.</w:t>
      </w:r>
    </w:p>
    <w:p w14:paraId="67C5D1C5" w14:textId="42A4DD72" w:rsidR="00F37EA5" w:rsidRPr="00630CCA" w:rsidRDefault="00F37EA5" w:rsidP="00F37EA5">
      <w:pPr>
        <w:pStyle w:val="BodyText"/>
        <w:rPr>
          <w:shd w:val="clear" w:color="auto" w:fill="FFFFFF"/>
          <w:lang w:val="en-US"/>
        </w:rPr>
      </w:pPr>
      <w:r w:rsidRPr="00627B14">
        <w:rPr>
          <w:shd w:val="clear" w:color="auto" w:fill="FFFFFF"/>
          <w:lang w:val="sv-FI"/>
        </w:rPr>
        <w:t xml:space="preserve">Börjesson, M., Isacsson, G., Andersson, M. ja Anderstig, C. </w:t>
      </w:r>
      <w:r w:rsidR="00D92DD0" w:rsidRPr="00627B14">
        <w:rPr>
          <w:shd w:val="clear" w:color="auto" w:fill="FFFFFF"/>
          <w:lang w:val="sv-FI"/>
        </w:rPr>
        <w:t>(</w:t>
      </w:r>
      <w:r w:rsidRPr="00627B14">
        <w:rPr>
          <w:shd w:val="clear" w:color="auto" w:fill="FFFFFF"/>
          <w:lang w:val="sv-FI"/>
        </w:rPr>
        <w:t>2019</w:t>
      </w:r>
      <w:r w:rsidR="00D92DD0" w:rsidRPr="00627B14">
        <w:rPr>
          <w:shd w:val="clear" w:color="auto" w:fill="FFFFFF"/>
          <w:lang w:val="sv-FI"/>
        </w:rPr>
        <w:t>)</w:t>
      </w:r>
      <w:r w:rsidRPr="00627B14">
        <w:rPr>
          <w:shd w:val="clear" w:color="auto" w:fill="FFFFFF"/>
          <w:lang w:val="sv-FI"/>
        </w:rPr>
        <w:t xml:space="preserve">. </w:t>
      </w:r>
      <w:r w:rsidRPr="00630CCA">
        <w:rPr>
          <w:shd w:val="clear" w:color="auto" w:fill="FFFFFF"/>
          <w:lang w:val="en-US"/>
        </w:rPr>
        <w:t>Agglomeration, productivity and the role of transport system improvements. </w:t>
      </w:r>
      <w:r w:rsidRPr="00532AF3">
        <w:rPr>
          <w:shd w:val="clear" w:color="auto" w:fill="FFFFFF"/>
          <w:lang w:val="en-US"/>
        </w:rPr>
        <w:t>Economics of Transportation</w:t>
      </w:r>
      <w:r w:rsidRPr="00630CCA">
        <w:rPr>
          <w:shd w:val="clear" w:color="auto" w:fill="FFFFFF"/>
          <w:lang w:val="en-US"/>
        </w:rPr>
        <w:t>, </w:t>
      </w:r>
      <w:r w:rsidRPr="00532AF3">
        <w:rPr>
          <w:shd w:val="clear" w:color="auto" w:fill="FFFFFF"/>
          <w:lang w:val="en-US"/>
        </w:rPr>
        <w:t>18</w:t>
      </w:r>
      <w:r w:rsidRPr="00630CCA">
        <w:rPr>
          <w:shd w:val="clear" w:color="auto" w:fill="FFFFFF"/>
          <w:lang w:val="en-US"/>
        </w:rPr>
        <w:t>, pp.27-39.</w:t>
      </w:r>
    </w:p>
    <w:p w14:paraId="2B0D5FD0" w14:textId="0352D16A" w:rsidR="00F37EA5" w:rsidRPr="00630CCA" w:rsidRDefault="00F37EA5" w:rsidP="00F37EA5">
      <w:pPr>
        <w:pStyle w:val="BodyText"/>
        <w:rPr>
          <w:shd w:val="clear" w:color="auto" w:fill="FFFFFF"/>
          <w:lang w:val="en-US"/>
        </w:rPr>
      </w:pPr>
      <w:r w:rsidRPr="00630CCA">
        <w:rPr>
          <w:shd w:val="clear" w:color="auto" w:fill="FFFFFF"/>
          <w:lang w:val="en-US"/>
        </w:rPr>
        <w:t xml:space="preserve">Combes, P.P. ja Gobillon, L. </w:t>
      </w:r>
      <w:r w:rsidR="00D92DD0">
        <w:rPr>
          <w:shd w:val="clear" w:color="auto" w:fill="FFFFFF"/>
          <w:lang w:val="en-US"/>
        </w:rPr>
        <w:t>(</w:t>
      </w:r>
      <w:r w:rsidRPr="00630CCA">
        <w:rPr>
          <w:shd w:val="clear" w:color="auto" w:fill="FFFFFF"/>
          <w:lang w:val="en-US"/>
        </w:rPr>
        <w:t>2015</w:t>
      </w:r>
      <w:r w:rsidR="00D92DD0">
        <w:rPr>
          <w:shd w:val="clear" w:color="auto" w:fill="FFFFFF"/>
          <w:lang w:val="en-US"/>
        </w:rPr>
        <w:t>)</w:t>
      </w:r>
      <w:r w:rsidRPr="00630CCA">
        <w:rPr>
          <w:shd w:val="clear" w:color="auto" w:fill="FFFFFF"/>
          <w:lang w:val="en-US"/>
        </w:rPr>
        <w:t>. The empirics of agglomeration economies. In </w:t>
      </w:r>
      <w:r w:rsidRPr="00532AF3">
        <w:rPr>
          <w:shd w:val="clear" w:color="auto" w:fill="FFFFFF"/>
          <w:lang w:val="en-US"/>
        </w:rPr>
        <w:t>Handbook of regional and urban economics</w:t>
      </w:r>
      <w:r w:rsidRPr="00630CCA">
        <w:rPr>
          <w:shd w:val="clear" w:color="auto" w:fill="FFFFFF"/>
          <w:lang w:val="en-US"/>
        </w:rPr>
        <w:t> (Vol. 5, pp. 247-348). Elsevier.</w:t>
      </w:r>
    </w:p>
    <w:p w14:paraId="3B2181F5" w14:textId="47D18BE9" w:rsidR="00F37EA5" w:rsidRPr="00630CCA" w:rsidRDefault="00F37EA5" w:rsidP="00F37EA5">
      <w:pPr>
        <w:pStyle w:val="BodyText"/>
        <w:rPr>
          <w:shd w:val="clear" w:color="auto" w:fill="FFFFFF"/>
          <w:lang w:val="en-US"/>
        </w:rPr>
      </w:pPr>
      <w:r w:rsidRPr="00630CCA">
        <w:rPr>
          <w:shd w:val="clear" w:color="auto" w:fill="FFFFFF"/>
          <w:lang w:val="en-US"/>
        </w:rPr>
        <w:t xml:space="preserve">Combes, P.P. ja Lafourcade, M. </w:t>
      </w:r>
      <w:r w:rsidR="00D92DD0">
        <w:rPr>
          <w:shd w:val="clear" w:color="auto" w:fill="FFFFFF"/>
          <w:lang w:val="en-US"/>
        </w:rPr>
        <w:t>(</w:t>
      </w:r>
      <w:r w:rsidRPr="00630CCA">
        <w:rPr>
          <w:shd w:val="clear" w:color="auto" w:fill="FFFFFF"/>
          <w:lang w:val="en-US"/>
        </w:rPr>
        <w:t>2005</w:t>
      </w:r>
      <w:r w:rsidR="00D92DD0">
        <w:rPr>
          <w:shd w:val="clear" w:color="auto" w:fill="FFFFFF"/>
          <w:lang w:val="en-US"/>
        </w:rPr>
        <w:t>)</w:t>
      </w:r>
      <w:r w:rsidRPr="00630CCA">
        <w:rPr>
          <w:shd w:val="clear" w:color="auto" w:fill="FFFFFF"/>
          <w:lang w:val="en-US"/>
        </w:rPr>
        <w:t>. Transport costs: measures, determinants, and regional policy implications for France. </w:t>
      </w:r>
      <w:r w:rsidRPr="00532AF3">
        <w:rPr>
          <w:shd w:val="clear" w:color="auto" w:fill="FFFFFF"/>
          <w:lang w:val="en-US"/>
        </w:rPr>
        <w:t>Journal of economic geography</w:t>
      </w:r>
      <w:r w:rsidRPr="00630CCA">
        <w:rPr>
          <w:shd w:val="clear" w:color="auto" w:fill="FFFFFF"/>
          <w:lang w:val="en-US"/>
        </w:rPr>
        <w:t>, </w:t>
      </w:r>
      <w:r w:rsidRPr="00532AF3">
        <w:rPr>
          <w:shd w:val="clear" w:color="auto" w:fill="FFFFFF"/>
          <w:lang w:val="en-US"/>
        </w:rPr>
        <w:t>5</w:t>
      </w:r>
      <w:r w:rsidRPr="00630CCA">
        <w:rPr>
          <w:shd w:val="clear" w:color="auto" w:fill="FFFFFF"/>
          <w:lang w:val="en-US"/>
        </w:rPr>
        <w:t>(3), pp.319-349.</w:t>
      </w:r>
    </w:p>
    <w:p w14:paraId="13512357" w14:textId="77777777" w:rsidR="005A6EEC" w:rsidRPr="009B7274" w:rsidRDefault="005A6EEC" w:rsidP="005A6EEC">
      <w:pPr>
        <w:pStyle w:val="BodyText"/>
        <w:rPr>
          <w:shd w:val="clear" w:color="auto" w:fill="FFFFFF"/>
          <w:lang w:val="en-US"/>
        </w:rPr>
      </w:pPr>
      <w:r w:rsidRPr="00630CCA">
        <w:rPr>
          <w:shd w:val="clear" w:color="auto" w:fill="FFFFFF"/>
          <w:lang w:val="en-US"/>
        </w:rPr>
        <w:t>Department for Transport (201</w:t>
      </w:r>
      <w:r>
        <w:rPr>
          <w:shd w:val="clear" w:color="auto" w:fill="FFFFFF"/>
          <w:lang w:val="en-US"/>
        </w:rPr>
        <w:t>8</w:t>
      </w:r>
      <w:r w:rsidRPr="00630CCA">
        <w:rPr>
          <w:shd w:val="clear" w:color="auto" w:fill="FFFFFF"/>
          <w:lang w:val="en-US"/>
        </w:rPr>
        <w:t xml:space="preserve">). </w:t>
      </w:r>
      <w:r>
        <w:rPr>
          <w:shd w:val="clear" w:color="auto" w:fill="FFFFFF"/>
          <w:lang w:val="en-US"/>
        </w:rPr>
        <w:t>Transport Analysis Guidance TAG.</w:t>
      </w:r>
      <w:r w:rsidRPr="00630CCA">
        <w:rPr>
          <w:shd w:val="clear" w:color="auto" w:fill="FFFFFF"/>
          <w:lang w:val="en-US"/>
        </w:rPr>
        <w:t xml:space="preserve"> TAG unit A2-1 wider impacts. </w:t>
      </w:r>
      <w:r w:rsidRPr="009B7274">
        <w:rPr>
          <w:shd w:val="clear" w:color="auto" w:fill="FFFFFF"/>
          <w:lang w:val="en-US"/>
        </w:rPr>
        <w:t xml:space="preserve">Saatavissa: </w:t>
      </w:r>
      <w:hyperlink r:id="rId31" w:history="1">
        <w:r w:rsidRPr="009B7274">
          <w:rPr>
            <w:rStyle w:val="Hyperlink"/>
            <w:shd w:val="clear" w:color="auto" w:fill="FFFFFF"/>
            <w:lang w:val="en-US"/>
          </w:rPr>
          <w:t>https://www.gov.uk/government/publications/webtag-tag-unit-a2-1-wider-impacts</w:t>
        </w:r>
      </w:hyperlink>
      <w:r w:rsidRPr="009B7274">
        <w:rPr>
          <w:shd w:val="clear" w:color="auto" w:fill="FFFFFF"/>
          <w:lang w:val="en-US"/>
        </w:rPr>
        <w:t>.</w:t>
      </w:r>
    </w:p>
    <w:p w14:paraId="2AC576DB" w14:textId="77777777" w:rsidR="005A6EEC" w:rsidRPr="009B7274" w:rsidRDefault="005A6EEC" w:rsidP="005A6EEC">
      <w:pPr>
        <w:pStyle w:val="BodyText"/>
        <w:rPr>
          <w:shd w:val="clear" w:color="auto" w:fill="FFFFFF"/>
          <w:lang w:val="en-US"/>
        </w:rPr>
      </w:pPr>
      <w:r w:rsidRPr="00630CCA">
        <w:rPr>
          <w:shd w:val="clear" w:color="auto" w:fill="FFFFFF"/>
          <w:lang w:val="en-US"/>
        </w:rPr>
        <w:t>Department for Transport (20</w:t>
      </w:r>
      <w:r>
        <w:rPr>
          <w:shd w:val="clear" w:color="auto" w:fill="FFFFFF"/>
          <w:lang w:val="en-US"/>
        </w:rPr>
        <w:t>20</w:t>
      </w:r>
      <w:r w:rsidRPr="00630CCA">
        <w:rPr>
          <w:shd w:val="clear" w:color="auto" w:fill="FFFFFF"/>
          <w:lang w:val="en-US"/>
        </w:rPr>
        <w:t xml:space="preserve">). </w:t>
      </w:r>
      <w:r>
        <w:rPr>
          <w:shd w:val="clear" w:color="auto" w:fill="FFFFFF"/>
          <w:lang w:val="en-US"/>
        </w:rPr>
        <w:t xml:space="preserve">Transport Analysis Guidance TAG. </w:t>
      </w:r>
      <w:r w:rsidRPr="00C5314D">
        <w:rPr>
          <w:shd w:val="clear" w:color="auto" w:fill="FFFFFF"/>
          <w:lang w:val="en-US"/>
        </w:rPr>
        <w:t>TAG UNIT A2.4 Appraisal of Productivity Impacts</w:t>
      </w:r>
      <w:r>
        <w:rPr>
          <w:shd w:val="clear" w:color="auto" w:fill="FFFFFF"/>
          <w:lang w:val="en-US"/>
        </w:rPr>
        <w:t>.</w:t>
      </w:r>
      <w:r w:rsidRPr="00C5314D">
        <w:rPr>
          <w:shd w:val="clear" w:color="auto" w:fill="FFFFFF"/>
          <w:lang w:val="en-US"/>
        </w:rPr>
        <w:t xml:space="preserve"> </w:t>
      </w:r>
      <w:r w:rsidRPr="009B7274">
        <w:rPr>
          <w:shd w:val="clear" w:color="auto" w:fill="FFFFFF"/>
          <w:lang w:val="en-US"/>
        </w:rPr>
        <w:t xml:space="preserve">Saatavissa: </w:t>
      </w:r>
      <w:hyperlink r:id="rId32" w:history="1">
        <w:r w:rsidRPr="009B7274">
          <w:rPr>
            <w:rStyle w:val="Hyperlink"/>
            <w:shd w:val="clear" w:color="auto" w:fill="FFFFFF"/>
            <w:lang w:val="en-US"/>
          </w:rPr>
          <w:t>https://www.gov.uk/government/publications/tag-unit-a2-4-productivity-impacts</w:t>
        </w:r>
      </w:hyperlink>
      <w:r w:rsidRPr="009B7274">
        <w:rPr>
          <w:shd w:val="clear" w:color="auto" w:fill="FFFFFF"/>
          <w:lang w:val="en-US"/>
        </w:rPr>
        <w:t>.</w:t>
      </w:r>
    </w:p>
    <w:p w14:paraId="410E1E26" w14:textId="2EBAD3A5" w:rsidR="00F37EA5" w:rsidRPr="00630CCA" w:rsidRDefault="00F37EA5" w:rsidP="00F37EA5">
      <w:pPr>
        <w:pStyle w:val="BodyText"/>
        <w:rPr>
          <w:shd w:val="clear" w:color="auto" w:fill="FFFFFF"/>
          <w:lang w:val="en-US"/>
        </w:rPr>
      </w:pPr>
      <w:r w:rsidRPr="00082611">
        <w:rPr>
          <w:shd w:val="clear" w:color="auto" w:fill="FFFFFF"/>
        </w:rPr>
        <w:t xml:space="preserve">Duranton, G. ja Puga, D. </w:t>
      </w:r>
      <w:r w:rsidR="00D92DD0">
        <w:rPr>
          <w:shd w:val="clear" w:color="auto" w:fill="FFFFFF"/>
        </w:rPr>
        <w:t>(</w:t>
      </w:r>
      <w:r w:rsidRPr="00082611">
        <w:rPr>
          <w:shd w:val="clear" w:color="auto" w:fill="FFFFFF"/>
        </w:rPr>
        <w:t>2004</w:t>
      </w:r>
      <w:r w:rsidR="00D92DD0">
        <w:rPr>
          <w:shd w:val="clear" w:color="auto" w:fill="FFFFFF"/>
        </w:rPr>
        <w:t>)</w:t>
      </w:r>
      <w:r w:rsidRPr="00082611">
        <w:rPr>
          <w:shd w:val="clear" w:color="auto" w:fill="FFFFFF"/>
        </w:rPr>
        <w:t xml:space="preserve">. </w:t>
      </w:r>
      <w:r w:rsidRPr="00630CCA">
        <w:rPr>
          <w:shd w:val="clear" w:color="auto" w:fill="FFFFFF"/>
          <w:lang w:val="en-US"/>
        </w:rPr>
        <w:t>Micro-foundations of urban agglomeration economies. In Handbook of regional and urban economics (Vol. 4, pp. 2063-2117). Elsevier.</w:t>
      </w:r>
    </w:p>
    <w:p w14:paraId="55A76C2C" w14:textId="0D591F68" w:rsidR="00F37EA5" w:rsidRPr="00630CCA" w:rsidRDefault="00F37EA5" w:rsidP="00F37EA5">
      <w:pPr>
        <w:pStyle w:val="BodyText"/>
        <w:rPr>
          <w:shd w:val="clear" w:color="auto" w:fill="FFFFFF"/>
          <w:lang w:val="en-US"/>
        </w:rPr>
      </w:pPr>
      <w:r w:rsidRPr="00082611">
        <w:rPr>
          <w:shd w:val="clear" w:color="auto" w:fill="FFFFFF"/>
        </w:rPr>
        <w:t xml:space="preserve">Eliasson, J. ja Fosgerau, M. </w:t>
      </w:r>
      <w:r w:rsidR="00D92DD0">
        <w:rPr>
          <w:shd w:val="clear" w:color="auto" w:fill="FFFFFF"/>
        </w:rPr>
        <w:t>(</w:t>
      </w:r>
      <w:r w:rsidRPr="00082611">
        <w:rPr>
          <w:shd w:val="clear" w:color="auto" w:fill="FFFFFF"/>
        </w:rPr>
        <w:t>2019</w:t>
      </w:r>
      <w:r w:rsidR="00D92DD0">
        <w:rPr>
          <w:shd w:val="clear" w:color="auto" w:fill="FFFFFF"/>
        </w:rPr>
        <w:t>)</w:t>
      </w:r>
      <w:r w:rsidRPr="00082611">
        <w:rPr>
          <w:shd w:val="clear" w:color="auto" w:fill="FFFFFF"/>
        </w:rPr>
        <w:t xml:space="preserve">. </w:t>
      </w:r>
      <w:r w:rsidRPr="00630CCA">
        <w:rPr>
          <w:shd w:val="clear" w:color="auto" w:fill="FFFFFF"/>
          <w:lang w:val="en-US"/>
        </w:rPr>
        <w:t>Cost-benefit analysis of transport improvements in the presence of spillovers, matching and an income tax. Economics of Transportation, 18, pp.1-9.</w:t>
      </w:r>
    </w:p>
    <w:p w14:paraId="7FB80919" w14:textId="77777777" w:rsidR="00D92DD0" w:rsidRDefault="00D92DD0" w:rsidP="00D92DD0">
      <w:pPr>
        <w:pStyle w:val="BodyText"/>
        <w:rPr>
          <w:shd w:val="clear" w:color="auto" w:fill="FFFFFF"/>
          <w:lang w:val="en-US"/>
        </w:rPr>
      </w:pPr>
      <w:r w:rsidRPr="007702A1">
        <w:rPr>
          <w:shd w:val="clear" w:color="auto" w:fill="FFFFFF"/>
          <w:lang w:val="en-US"/>
        </w:rPr>
        <w:t xml:space="preserve">Glaeser, E.L. ja Kahn, M.E., (2004). </w:t>
      </w:r>
      <w:r w:rsidRPr="00630CCA">
        <w:rPr>
          <w:shd w:val="clear" w:color="auto" w:fill="FFFFFF"/>
          <w:lang w:val="en-US"/>
        </w:rPr>
        <w:t xml:space="preserve">Sprawl and urban growth. In Handbook of regional and urban economics (Vol. 4, pp. 2481-2527). </w:t>
      </w:r>
      <w:r w:rsidRPr="00532AF3">
        <w:rPr>
          <w:shd w:val="clear" w:color="auto" w:fill="FFFFFF"/>
          <w:lang w:val="en-US"/>
        </w:rPr>
        <w:t>Elsevier.</w:t>
      </w:r>
    </w:p>
    <w:p w14:paraId="12EDC20F" w14:textId="3F82E328" w:rsidR="00F37EA5" w:rsidRPr="00630CCA" w:rsidRDefault="00F37EA5" w:rsidP="00F37EA5">
      <w:pPr>
        <w:pStyle w:val="BodyText"/>
        <w:rPr>
          <w:shd w:val="clear" w:color="auto" w:fill="FFFFFF"/>
          <w:lang w:val="en-US"/>
        </w:rPr>
      </w:pPr>
      <w:r w:rsidRPr="00630CCA">
        <w:rPr>
          <w:shd w:val="clear" w:color="auto" w:fill="FFFFFF"/>
          <w:lang w:val="en-US"/>
        </w:rPr>
        <w:t xml:space="preserve">Graham, D.J. </w:t>
      </w:r>
      <w:r w:rsidR="00D92DD0">
        <w:rPr>
          <w:shd w:val="clear" w:color="auto" w:fill="FFFFFF"/>
          <w:lang w:val="en-US"/>
        </w:rPr>
        <w:t>(</w:t>
      </w:r>
      <w:r w:rsidRPr="00630CCA">
        <w:rPr>
          <w:shd w:val="clear" w:color="auto" w:fill="FFFFFF"/>
          <w:lang w:val="en-US"/>
        </w:rPr>
        <w:t>2007</w:t>
      </w:r>
      <w:r w:rsidR="00D92DD0">
        <w:rPr>
          <w:shd w:val="clear" w:color="auto" w:fill="FFFFFF"/>
          <w:lang w:val="en-US"/>
        </w:rPr>
        <w:t>)</w:t>
      </w:r>
      <w:r w:rsidRPr="00630CCA">
        <w:rPr>
          <w:shd w:val="clear" w:color="auto" w:fill="FFFFFF"/>
          <w:lang w:val="en-US"/>
        </w:rPr>
        <w:t>. Agglomeration, productivity and transport investment. Journal of transport economics and policy (JTEP), 41(3), pp.317-343.</w:t>
      </w:r>
    </w:p>
    <w:p w14:paraId="463A6668" w14:textId="51C9C2AD" w:rsidR="00F37EA5" w:rsidRPr="00630CCA" w:rsidRDefault="00F37EA5" w:rsidP="00F37EA5">
      <w:pPr>
        <w:pStyle w:val="BodyText"/>
        <w:rPr>
          <w:shd w:val="clear" w:color="auto" w:fill="FFFFFF"/>
          <w:lang w:val="en-US"/>
        </w:rPr>
      </w:pPr>
      <w:r w:rsidRPr="00630CCA">
        <w:rPr>
          <w:shd w:val="clear" w:color="auto" w:fill="FFFFFF"/>
          <w:lang w:val="en-US"/>
        </w:rPr>
        <w:t xml:space="preserve">Graham, D.J., Gibbons, S. ja Martin, R. </w:t>
      </w:r>
      <w:r w:rsidR="00D92DD0">
        <w:rPr>
          <w:shd w:val="clear" w:color="auto" w:fill="FFFFFF"/>
          <w:lang w:val="en-US"/>
        </w:rPr>
        <w:t>(</w:t>
      </w:r>
      <w:r w:rsidRPr="00630CCA">
        <w:rPr>
          <w:shd w:val="clear" w:color="auto" w:fill="FFFFFF"/>
          <w:lang w:val="en-US"/>
        </w:rPr>
        <w:t>2010</w:t>
      </w:r>
      <w:r w:rsidR="00D92DD0">
        <w:rPr>
          <w:shd w:val="clear" w:color="auto" w:fill="FFFFFF"/>
          <w:lang w:val="en-US"/>
        </w:rPr>
        <w:t>)</w:t>
      </w:r>
      <w:r w:rsidRPr="00630CCA">
        <w:rPr>
          <w:shd w:val="clear" w:color="auto" w:fill="FFFFFF"/>
          <w:lang w:val="en-US"/>
        </w:rPr>
        <w:t>. The spatial decay of agglomeration economies: estimates for use in transport appraisal.</w:t>
      </w:r>
    </w:p>
    <w:p w14:paraId="49777D05" w14:textId="6C8ED036" w:rsidR="00F37EA5" w:rsidRPr="00630CCA" w:rsidRDefault="00F37EA5" w:rsidP="00F37EA5">
      <w:pPr>
        <w:pStyle w:val="BodyText"/>
        <w:rPr>
          <w:shd w:val="clear" w:color="auto" w:fill="FFFFFF"/>
          <w:lang w:val="en-US"/>
        </w:rPr>
      </w:pPr>
      <w:r w:rsidRPr="00627B14">
        <w:rPr>
          <w:shd w:val="clear" w:color="auto" w:fill="FFFFFF"/>
          <w:lang w:val="sv-FI"/>
        </w:rPr>
        <w:t xml:space="preserve">Graham, D.J. ja Gibbons, S. </w:t>
      </w:r>
      <w:r w:rsidR="00D92DD0" w:rsidRPr="00627B14">
        <w:rPr>
          <w:shd w:val="clear" w:color="auto" w:fill="FFFFFF"/>
          <w:lang w:val="sv-FI"/>
        </w:rPr>
        <w:t>(</w:t>
      </w:r>
      <w:r w:rsidRPr="00627B14">
        <w:rPr>
          <w:shd w:val="clear" w:color="auto" w:fill="FFFFFF"/>
          <w:lang w:val="sv-FI"/>
        </w:rPr>
        <w:t>2019</w:t>
      </w:r>
      <w:r w:rsidR="00D92DD0" w:rsidRPr="00627B14">
        <w:rPr>
          <w:shd w:val="clear" w:color="auto" w:fill="FFFFFF"/>
          <w:lang w:val="sv-FI"/>
        </w:rPr>
        <w:t>)</w:t>
      </w:r>
      <w:r w:rsidRPr="00627B14">
        <w:rPr>
          <w:shd w:val="clear" w:color="auto" w:fill="FFFFFF"/>
          <w:lang w:val="sv-FI"/>
        </w:rPr>
        <w:t xml:space="preserve">. </w:t>
      </w:r>
      <w:r w:rsidRPr="00630CCA">
        <w:rPr>
          <w:shd w:val="clear" w:color="auto" w:fill="FFFFFF"/>
          <w:lang w:val="en-US"/>
        </w:rPr>
        <w:t>Quantifying Wider Economic Impacts of agglomeration for transport appraisal: Existing evidence and future directions. Economics of Transportation, 19, p.100121.</w:t>
      </w:r>
    </w:p>
    <w:p w14:paraId="08040F79" w14:textId="2350C955" w:rsidR="00F37EA5" w:rsidRPr="00630CCA" w:rsidRDefault="00F37EA5" w:rsidP="00F37EA5">
      <w:pPr>
        <w:pStyle w:val="BodyText"/>
        <w:rPr>
          <w:shd w:val="clear" w:color="auto" w:fill="FFFFFF"/>
          <w:lang w:val="en-US"/>
        </w:rPr>
      </w:pPr>
      <w:r w:rsidRPr="001941CA">
        <w:rPr>
          <w:shd w:val="clear" w:color="auto" w:fill="FFFFFF"/>
          <w:lang w:val="en-US"/>
        </w:rPr>
        <w:t xml:space="preserve">Graham, D.J. ja Melo, P.C. </w:t>
      </w:r>
      <w:r w:rsidR="00D92DD0" w:rsidRPr="001941CA">
        <w:rPr>
          <w:shd w:val="clear" w:color="auto" w:fill="FFFFFF"/>
          <w:lang w:val="en-US"/>
        </w:rPr>
        <w:t>(</w:t>
      </w:r>
      <w:r w:rsidRPr="001941CA">
        <w:rPr>
          <w:shd w:val="clear" w:color="auto" w:fill="FFFFFF"/>
          <w:lang w:val="en-US"/>
        </w:rPr>
        <w:t>2009</w:t>
      </w:r>
      <w:r w:rsidR="00D92DD0" w:rsidRPr="001941CA">
        <w:rPr>
          <w:shd w:val="clear" w:color="auto" w:fill="FFFFFF"/>
          <w:lang w:val="en-US"/>
        </w:rPr>
        <w:t>)</w:t>
      </w:r>
      <w:r w:rsidRPr="001941CA">
        <w:rPr>
          <w:shd w:val="clear" w:color="auto" w:fill="FFFFFF"/>
          <w:lang w:val="en-US"/>
        </w:rPr>
        <w:t xml:space="preserve">. </w:t>
      </w:r>
      <w:r w:rsidRPr="00630CCA">
        <w:rPr>
          <w:shd w:val="clear" w:color="auto" w:fill="FFFFFF"/>
          <w:lang w:val="en-US"/>
        </w:rPr>
        <w:t>Agglomeration economies and labour productivity: evidence from longitudinal worker data for GB's travel-to-work areas.</w:t>
      </w:r>
    </w:p>
    <w:p w14:paraId="1ED24297" w14:textId="79AC501B" w:rsidR="00F37EA5" w:rsidRPr="00082611" w:rsidRDefault="00F37EA5" w:rsidP="00F37EA5">
      <w:pPr>
        <w:pStyle w:val="BodyText"/>
        <w:rPr>
          <w:shd w:val="clear" w:color="auto" w:fill="FFFFFF"/>
        </w:rPr>
      </w:pPr>
      <w:r w:rsidRPr="00627B14">
        <w:rPr>
          <w:shd w:val="clear" w:color="auto" w:fill="FFFFFF"/>
          <w:lang w:val="sv-FI"/>
        </w:rPr>
        <w:t xml:space="preserve">Graham, D.J. ja Van Dender, K. </w:t>
      </w:r>
      <w:r w:rsidR="00D92DD0" w:rsidRPr="00627B14">
        <w:rPr>
          <w:shd w:val="clear" w:color="auto" w:fill="FFFFFF"/>
          <w:lang w:val="sv-FI"/>
        </w:rPr>
        <w:t>(</w:t>
      </w:r>
      <w:r w:rsidRPr="00627B14">
        <w:rPr>
          <w:shd w:val="clear" w:color="auto" w:fill="FFFFFF"/>
          <w:lang w:val="sv-FI"/>
        </w:rPr>
        <w:t>2011</w:t>
      </w:r>
      <w:r w:rsidR="00D92DD0" w:rsidRPr="00627B14">
        <w:rPr>
          <w:shd w:val="clear" w:color="auto" w:fill="FFFFFF"/>
          <w:lang w:val="sv-FI"/>
        </w:rPr>
        <w:t>)</w:t>
      </w:r>
      <w:r w:rsidRPr="00627B14">
        <w:rPr>
          <w:shd w:val="clear" w:color="auto" w:fill="FFFFFF"/>
          <w:lang w:val="sv-FI"/>
        </w:rPr>
        <w:t xml:space="preserve">. </w:t>
      </w:r>
      <w:r w:rsidRPr="00630CCA">
        <w:rPr>
          <w:shd w:val="clear" w:color="auto" w:fill="FFFFFF"/>
          <w:lang w:val="en-US"/>
        </w:rPr>
        <w:t xml:space="preserve">Estimating the agglomeration benefits of transport investments: some tests for stability. </w:t>
      </w:r>
      <w:r w:rsidRPr="00082611">
        <w:rPr>
          <w:shd w:val="clear" w:color="auto" w:fill="FFFFFF"/>
        </w:rPr>
        <w:t>Transportation, 38(3), pp.409-426.</w:t>
      </w:r>
    </w:p>
    <w:p w14:paraId="1B4D8C0D" w14:textId="4015F287" w:rsidR="00F7501D" w:rsidRPr="00F7501D" w:rsidRDefault="00F7501D" w:rsidP="00F7501D">
      <w:pPr>
        <w:pStyle w:val="BodyText"/>
        <w:rPr>
          <w:shd w:val="clear" w:color="auto" w:fill="FFFFFF"/>
        </w:rPr>
      </w:pPr>
      <w:r w:rsidRPr="00F7501D">
        <w:rPr>
          <w:shd w:val="clear" w:color="auto" w:fill="FFFFFF"/>
        </w:rPr>
        <w:lastRenderedPageBreak/>
        <w:t>Haapamäki, T., Falkenbach, H., Harju</w:t>
      </w:r>
      <w:r>
        <w:rPr>
          <w:shd w:val="clear" w:color="auto" w:fill="FFFFFF"/>
        </w:rPr>
        <w:t>nen, O., Laakso, S., Väänänen, T. (2020a). Esiselvitys liikennehankkeiden kiinteistömarkkinavaikutuksista. Aalto-yliopiston julkaisusarja TIEDE + TEKNOLOGIA 3/2020.</w:t>
      </w:r>
    </w:p>
    <w:p w14:paraId="03516616" w14:textId="7992653E" w:rsidR="00F37EA5" w:rsidRPr="00F214CB" w:rsidRDefault="00F37EA5" w:rsidP="00F37EA5">
      <w:pPr>
        <w:pStyle w:val="BodyText"/>
        <w:rPr>
          <w:shd w:val="clear" w:color="auto" w:fill="FFFFFF"/>
        </w:rPr>
      </w:pPr>
      <w:r w:rsidRPr="00082611">
        <w:rPr>
          <w:shd w:val="clear" w:color="auto" w:fill="FFFFFF"/>
        </w:rPr>
        <w:t xml:space="preserve">Haapamäki, T., Kauhanen, A., Laakso, S., Metsäranta, H., Ojanperä, M., Riukula, K. ja Väänänen, T. </w:t>
      </w:r>
      <w:r w:rsidR="00D92DD0">
        <w:rPr>
          <w:shd w:val="clear" w:color="auto" w:fill="FFFFFF"/>
        </w:rPr>
        <w:t>(</w:t>
      </w:r>
      <w:r w:rsidRPr="00082611">
        <w:rPr>
          <w:shd w:val="clear" w:color="auto" w:fill="FFFFFF"/>
        </w:rPr>
        <w:t>2020</w:t>
      </w:r>
      <w:r w:rsidR="00F7501D">
        <w:rPr>
          <w:shd w:val="clear" w:color="auto" w:fill="FFFFFF"/>
        </w:rPr>
        <w:t>b</w:t>
      </w:r>
      <w:r w:rsidR="00D92DD0">
        <w:rPr>
          <w:shd w:val="clear" w:color="auto" w:fill="FFFFFF"/>
        </w:rPr>
        <w:t>)</w:t>
      </w:r>
      <w:r w:rsidRPr="00082611">
        <w:rPr>
          <w:shd w:val="clear" w:color="auto" w:fill="FFFFFF"/>
        </w:rPr>
        <w:t xml:space="preserve">. </w:t>
      </w:r>
      <w:r w:rsidR="00627B14" w:rsidRPr="00627B14">
        <w:rPr>
          <w:shd w:val="clear" w:color="auto" w:fill="FFFFFF"/>
        </w:rPr>
        <w:t>Kasautumisvaikutusten arvioinnin menetelmät liikennejärjestelmän kehittäm</w:t>
      </w:r>
      <w:r w:rsidR="00627B14">
        <w:rPr>
          <w:shd w:val="clear" w:color="auto" w:fill="FFFFFF"/>
        </w:rPr>
        <w:t>isen vaikutustarkasteluissa. ETLA Raportti No 101</w:t>
      </w:r>
      <w:r w:rsidRPr="00F214CB">
        <w:rPr>
          <w:shd w:val="clear" w:color="auto" w:fill="FFFFFF"/>
        </w:rPr>
        <w:t>.</w:t>
      </w:r>
    </w:p>
    <w:p w14:paraId="64C61B8D" w14:textId="0FD9441B" w:rsidR="00F37EA5" w:rsidRPr="00630CCA" w:rsidRDefault="00F37EA5" w:rsidP="00F37EA5">
      <w:pPr>
        <w:pStyle w:val="BodyText"/>
        <w:rPr>
          <w:shd w:val="clear" w:color="auto" w:fill="FFFFFF"/>
          <w:lang w:val="en-US"/>
        </w:rPr>
      </w:pPr>
      <w:r w:rsidRPr="00F214CB">
        <w:rPr>
          <w:shd w:val="clear" w:color="auto" w:fill="FFFFFF"/>
        </w:rPr>
        <w:t xml:space="preserve">Harris, C.D. </w:t>
      </w:r>
      <w:r w:rsidR="00D92DD0" w:rsidRPr="00F214CB">
        <w:rPr>
          <w:shd w:val="clear" w:color="auto" w:fill="FFFFFF"/>
        </w:rPr>
        <w:t>(</w:t>
      </w:r>
      <w:r w:rsidRPr="00F214CB">
        <w:rPr>
          <w:shd w:val="clear" w:color="auto" w:fill="FFFFFF"/>
        </w:rPr>
        <w:t>1954</w:t>
      </w:r>
      <w:r w:rsidR="00D92DD0" w:rsidRPr="00F214CB">
        <w:rPr>
          <w:shd w:val="clear" w:color="auto" w:fill="FFFFFF"/>
        </w:rPr>
        <w:t>)</w:t>
      </w:r>
      <w:r w:rsidRPr="00F214CB">
        <w:rPr>
          <w:shd w:val="clear" w:color="auto" w:fill="FFFFFF"/>
        </w:rPr>
        <w:t xml:space="preserve">. </w:t>
      </w:r>
      <w:r w:rsidRPr="00630CCA">
        <w:rPr>
          <w:shd w:val="clear" w:color="auto" w:fill="FFFFFF"/>
          <w:lang w:val="en-US"/>
        </w:rPr>
        <w:t>The, Market as a Factor in the Localization of Industry in the United States. Annals of the association of American geographers, 44(4), pp.315-348.</w:t>
      </w:r>
    </w:p>
    <w:p w14:paraId="1C9BA6A4" w14:textId="158D865A" w:rsidR="004B2F7F" w:rsidRPr="004B2F7F" w:rsidRDefault="004B2F7F" w:rsidP="004B2F7F">
      <w:pPr>
        <w:pStyle w:val="BodyText"/>
        <w:rPr>
          <w:shd w:val="clear" w:color="auto" w:fill="FFFFFF"/>
        </w:rPr>
      </w:pPr>
      <w:r w:rsidRPr="00B53DDE">
        <w:rPr>
          <w:shd w:val="clear" w:color="auto" w:fill="FFFFFF"/>
          <w:lang w:val="en-US"/>
        </w:rPr>
        <w:t xml:space="preserve">HSL Helsingin seudun liikenne (2019). </w:t>
      </w:r>
      <w:r w:rsidRPr="004B2F7F">
        <w:rPr>
          <w:shd w:val="clear" w:color="auto" w:fill="FFFFFF"/>
        </w:rPr>
        <w:t>MAL 2019: Helsingin seudun maankäyttö, asuminen ja liikenne</w:t>
      </w:r>
      <w:r>
        <w:rPr>
          <w:shd w:val="clear" w:color="auto" w:fill="FFFFFF"/>
        </w:rPr>
        <w:t xml:space="preserve">. </w:t>
      </w:r>
    </w:p>
    <w:p w14:paraId="3DB73CF5" w14:textId="280D70C8" w:rsidR="00D92DD0" w:rsidRPr="00D92DD0" w:rsidRDefault="00D92DD0" w:rsidP="00F37EA5">
      <w:pPr>
        <w:pStyle w:val="BodyText"/>
        <w:rPr>
          <w:shd w:val="clear" w:color="auto" w:fill="FFFFFF"/>
        </w:rPr>
      </w:pPr>
      <w:r w:rsidRPr="004B2F7F">
        <w:rPr>
          <w:shd w:val="clear" w:color="auto" w:fill="FFFFFF"/>
        </w:rPr>
        <w:t xml:space="preserve">Laakso, S. ja Metsäranta, H. (2017). </w:t>
      </w:r>
      <w:r w:rsidRPr="00D92DD0">
        <w:rPr>
          <w:shd w:val="clear" w:color="auto" w:fill="FFFFFF"/>
        </w:rPr>
        <w:t>Liikennehankkeiden laajemmat taloudelliset vaikutukset: Arviointimenetelmien kehittäminen ja soveltaminen Suomen oloihin. Liikenneviraston tutkimuksia ja selvityksiä 37/2017. Helsinki.</w:t>
      </w:r>
    </w:p>
    <w:p w14:paraId="0D84928B" w14:textId="3DA0D349" w:rsidR="00F37EA5" w:rsidRPr="00532AF3" w:rsidRDefault="00F37EA5" w:rsidP="00F37EA5">
      <w:pPr>
        <w:pStyle w:val="BodyText"/>
        <w:rPr>
          <w:shd w:val="clear" w:color="auto" w:fill="FFFFFF"/>
          <w:lang w:val="en-US"/>
        </w:rPr>
      </w:pPr>
      <w:r w:rsidRPr="00D92DD0">
        <w:rPr>
          <w:shd w:val="clear" w:color="auto" w:fill="FFFFFF"/>
        </w:rPr>
        <w:t xml:space="preserve">Maré, D.C. ja Graham, D.J. </w:t>
      </w:r>
      <w:r w:rsidR="00D92DD0">
        <w:rPr>
          <w:shd w:val="clear" w:color="auto" w:fill="FFFFFF"/>
        </w:rPr>
        <w:t>(</w:t>
      </w:r>
      <w:r w:rsidRPr="00D92DD0">
        <w:rPr>
          <w:shd w:val="clear" w:color="auto" w:fill="FFFFFF"/>
        </w:rPr>
        <w:t>2013</w:t>
      </w:r>
      <w:r w:rsidR="00D92DD0">
        <w:rPr>
          <w:shd w:val="clear" w:color="auto" w:fill="FFFFFF"/>
        </w:rPr>
        <w:t>)</w:t>
      </w:r>
      <w:r w:rsidRPr="00D92DD0">
        <w:rPr>
          <w:shd w:val="clear" w:color="auto" w:fill="FFFFFF"/>
        </w:rPr>
        <w:t xml:space="preserve">. </w:t>
      </w:r>
      <w:r w:rsidRPr="00DF0378">
        <w:rPr>
          <w:shd w:val="clear" w:color="auto" w:fill="FFFFFF"/>
          <w:lang w:val="en-US"/>
        </w:rPr>
        <w:t>Agglomeration elasticities and firm heterogeneity. Journal of Urban Economics, 75, pp.44-56.</w:t>
      </w:r>
    </w:p>
    <w:p w14:paraId="31F69D5D" w14:textId="47EABA11" w:rsidR="00F37EA5" w:rsidRPr="00630CCA" w:rsidRDefault="00F37EA5" w:rsidP="00F37EA5">
      <w:pPr>
        <w:pStyle w:val="BodyText"/>
        <w:rPr>
          <w:shd w:val="clear" w:color="auto" w:fill="FFFFFF"/>
          <w:lang w:val="en-US"/>
        </w:rPr>
      </w:pPr>
      <w:r w:rsidRPr="00F214CB">
        <w:rPr>
          <w:shd w:val="clear" w:color="auto" w:fill="FFFFFF"/>
          <w:lang w:val="en-US"/>
        </w:rPr>
        <w:t xml:space="preserve">Melo, P.C., Graham, D.J., Levinson, D. ja Aarabi, S. </w:t>
      </w:r>
      <w:r w:rsidR="00D92DD0" w:rsidRPr="00F214CB">
        <w:rPr>
          <w:shd w:val="clear" w:color="auto" w:fill="FFFFFF"/>
          <w:lang w:val="en-US"/>
        </w:rPr>
        <w:t>(</w:t>
      </w:r>
      <w:r w:rsidRPr="00F214CB">
        <w:rPr>
          <w:shd w:val="clear" w:color="auto" w:fill="FFFFFF"/>
          <w:lang w:val="en-US"/>
        </w:rPr>
        <w:t>2017</w:t>
      </w:r>
      <w:r w:rsidR="00D92DD0" w:rsidRPr="00F214CB">
        <w:rPr>
          <w:shd w:val="clear" w:color="auto" w:fill="FFFFFF"/>
          <w:lang w:val="en-US"/>
        </w:rPr>
        <w:t>)</w:t>
      </w:r>
      <w:r w:rsidRPr="00F214CB">
        <w:rPr>
          <w:shd w:val="clear" w:color="auto" w:fill="FFFFFF"/>
          <w:lang w:val="en-US"/>
        </w:rPr>
        <w:t xml:space="preserve">. </w:t>
      </w:r>
      <w:r w:rsidRPr="00630CCA">
        <w:rPr>
          <w:shd w:val="clear" w:color="auto" w:fill="FFFFFF"/>
          <w:lang w:val="en-US"/>
        </w:rPr>
        <w:t>Agglomeration, accessibility and productivity: Evidence for large metropolitan areas in the US. Urban Studies, 54(1), pp.179-195.</w:t>
      </w:r>
    </w:p>
    <w:p w14:paraId="5CFFBB78" w14:textId="4A9396BD" w:rsidR="00F37EA5" w:rsidRPr="00630CCA" w:rsidRDefault="00F37EA5" w:rsidP="00F37EA5">
      <w:pPr>
        <w:pStyle w:val="BodyText"/>
        <w:rPr>
          <w:shd w:val="clear" w:color="auto" w:fill="FFFFFF"/>
          <w:lang w:val="en-US"/>
        </w:rPr>
      </w:pPr>
      <w:r w:rsidRPr="001941CA">
        <w:rPr>
          <w:shd w:val="clear" w:color="auto" w:fill="FFFFFF"/>
          <w:lang w:val="en-US"/>
        </w:rPr>
        <w:t xml:space="preserve">Mion, G. ja Naticchioni, P. </w:t>
      </w:r>
      <w:r w:rsidR="00D92DD0" w:rsidRPr="001941CA">
        <w:rPr>
          <w:shd w:val="clear" w:color="auto" w:fill="FFFFFF"/>
          <w:lang w:val="en-US"/>
        </w:rPr>
        <w:t>(</w:t>
      </w:r>
      <w:r w:rsidRPr="001941CA">
        <w:rPr>
          <w:shd w:val="clear" w:color="auto" w:fill="FFFFFF"/>
          <w:lang w:val="en-US"/>
        </w:rPr>
        <w:t>2005</w:t>
      </w:r>
      <w:r w:rsidR="00D92DD0" w:rsidRPr="001941CA">
        <w:rPr>
          <w:shd w:val="clear" w:color="auto" w:fill="FFFFFF"/>
          <w:lang w:val="en-US"/>
        </w:rPr>
        <w:t>)</w:t>
      </w:r>
      <w:r w:rsidRPr="001941CA">
        <w:rPr>
          <w:shd w:val="clear" w:color="auto" w:fill="FFFFFF"/>
          <w:lang w:val="en-US"/>
        </w:rPr>
        <w:t xml:space="preserve">. </w:t>
      </w:r>
      <w:r w:rsidRPr="00630CCA">
        <w:rPr>
          <w:shd w:val="clear" w:color="auto" w:fill="FFFFFF"/>
          <w:lang w:val="en-US"/>
        </w:rPr>
        <w:t>Urbanization Externalities, Market Potential and Spatial Sorting of Skills and Firms. CEPR Discussion Papers 5172. Centre for Economic Performance, London School of Economics and Political Science.</w:t>
      </w:r>
    </w:p>
    <w:p w14:paraId="42741479" w14:textId="5AF6614D" w:rsidR="000C04A4" w:rsidRDefault="000C04A4" w:rsidP="00F37EA5">
      <w:pPr>
        <w:pStyle w:val="BodyText"/>
        <w:rPr>
          <w:shd w:val="clear" w:color="auto" w:fill="FFFFFF"/>
          <w:lang w:val="en-US"/>
        </w:rPr>
      </w:pPr>
      <w:r w:rsidRPr="000C04A4">
        <w:rPr>
          <w:shd w:val="clear" w:color="auto" w:fill="FFFFFF"/>
          <w:lang w:val="en-US"/>
        </w:rPr>
        <w:t>Maré, D.C. ja Graham, D.J. (20</w:t>
      </w:r>
      <w:r>
        <w:rPr>
          <w:shd w:val="clear" w:color="auto" w:fill="FFFFFF"/>
          <w:lang w:val="en-US"/>
        </w:rPr>
        <w:t>09</w:t>
      </w:r>
      <w:r w:rsidRPr="000C04A4">
        <w:rPr>
          <w:shd w:val="clear" w:color="auto" w:fill="FFFFFF"/>
          <w:lang w:val="en-US"/>
        </w:rPr>
        <w:t xml:space="preserve">). </w:t>
      </w:r>
      <w:r w:rsidRPr="00DF0378">
        <w:rPr>
          <w:shd w:val="clear" w:color="auto" w:fill="FFFFFF"/>
          <w:lang w:val="en-US"/>
        </w:rPr>
        <w:t xml:space="preserve">Agglomeration elasticities </w:t>
      </w:r>
      <w:r>
        <w:rPr>
          <w:shd w:val="clear" w:color="auto" w:fill="FFFFFF"/>
          <w:lang w:val="en-US"/>
        </w:rPr>
        <w:t xml:space="preserve">in New Zealand. </w:t>
      </w:r>
      <w:r w:rsidRPr="00DF0378">
        <w:rPr>
          <w:shd w:val="clear" w:color="auto" w:fill="FFFFFF"/>
          <w:lang w:val="en-US"/>
        </w:rPr>
        <w:t>and firm heterogeneity. </w:t>
      </w:r>
      <w:r w:rsidRPr="000C04A4">
        <w:rPr>
          <w:shd w:val="clear" w:color="auto" w:fill="FFFFFF"/>
          <w:lang w:val="en-US"/>
        </w:rPr>
        <w:t>NZ Transport Agency Research Report 376</w:t>
      </w:r>
      <w:r>
        <w:rPr>
          <w:shd w:val="clear" w:color="auto" w:fill="FFFFFF"/>
          <w:lang w:val="en-US"/>
        </w:rPr>
        <w:t>.</w:t>
      </w:r>
    </w:p>
    <w:p w14:paraId="54E88661" w14:textId="7DB922AC" w:rsidR="000C04A4" w:rsidRDefault="000C04A4" w:rsidP="00F37EA5">
      <w:pPr>
        <w:pStyle w:val="BodyText"/>
        <w:rPr>
          <w:shd w:val="clear" w:color="auto" w:fill="FFFFFF"/>
          <w:lang w:val="en-US"/>
        </w:rPr>
      </w:pPr>
      <w:r>
        <w:rPr>
          <w:shd w:val="clear" w:color="auto" w:fill="FFFFFF"/>
          <w:lang w:val="en-US"/>
        </w:rPr>
        <w:t>NZ Transport Agency (2018). Economic evaluation manual.</w:t>
      </w:r>
    </w:p>
    <w:p w14:paraId="59C7DDC2" w14:textId="1308D538" w:rsidR="00F37EA5" w:rsidRPr="00630CCA" w:rsidRDefault="00F37EA5" w:rsidP="00F37EA5">
      <w:pPr>
        <w:pStyle w:val="BodyText"/>
        <w:rPr>
          <w:shd w:val="clear" w:color="auto" w:fill="FFFFFF"/>
          <w:lang w:val="en-US"/>
        </w:rPr>
      </w:pPr>
      <w:r w:rsidRPr="00630CCA">
        <w:rPr>
          <w:shd w:val="clear" w:color="auto" w:fill="FFFFFF"/>
          <w:lang w:val="en-US"/>
        </w:rPr>
        <w:t xml:space="preserve">Proost, S. ja Thisse, J.F. </w:t>
      </w:r>
      <w:r w:rsidR="00D92DD0">
        <w:rPr>
          <w:shd w:val="clear" w:color="auto" w:fill="FFFFFF"/>
          <w:lang w:val="en-US"/>
        </w:rPr>
        <w:t>(</w:t>
      </w:r>
      <w:r w:rsidRPr="00630CCA">
        <w:rPr>
          <w:shd w:val="clear" w:color="auto" w:fill="FFFFFF"/>
          <w:lang w:val="en-US"/>
        </w:rPr>
        <w:t>2019</w:t>
      </w:r>
      <w:r w:rsidR="00D92DD0">
        <w:rPr>
          <w:shd w:val="clear" w:color="auto" w:fill="FFFFFF"/>
          <w:lang w:val="en-US"/>
        </w:rPr>
        <w:t>)</w:t>
      </w:r>
      <w:r w:rsidRPr="00630CCA">
        <w:rPr>
          <w:shd w:val="clear" w:color="auto" w:fill="FFFFFF"/>
          <w:lang w:val="en-US"/>
        </w:rPr>
        <w:t>. What can be learned from spatial economics?. Journal of Economic Literature, 57(3), pp.575-643.</w:t>
      </w:r>
    </w:p>
    <w:p w14:paraId="63933C48" w14:textId="6793F2FF" w:rsidR="00F37EA5" w:rsidRPr="00630CCA" w:rsidRDefault="00F37EA5" w:rsidP="00F37EA5">
      <w:pPr>
        <w:pStyle w:val="BodyText"/>
        <w:rPr>
          <w:shd w:val="clear" w:color="auto" w:fill="FFFFFF"/>
          <w:lang w:val="en-US"/>
        </w:rPr>
      </w:pPr>
      <w:r w:rsidRPr="00630CCA">
        <w:rPr>
          <w:shd w:val="clear" w:color="auto" w:fill="FFFFFF"/>
          <w:lang w:val="en-US"/>
        </w:rPr>
        <w:t xml:space="preserve">Rosenthal, S.S. ja Strange, W.C. </w:t>
      </w:r>
      <w:r w:rsidR="00D92DD0">
        <w:rPr>
          <w:shd w:val="clear" w:color="auto" w:fill="FFFFFF"/>
          <w:lang w:val="en-US"/>
        </w:rPr>
        <w:t>(</w:t>
      </w:r>
      <w:r w:rsidRPr="00630CCA">
        <w:rPr>
          <w:shd w:val="clear" w:color="auto" w:fill="FFFFFF"/>
          <w:lang w:val="en-US"/>
        </w:rPr>
        <w:t>2003</w:t>
      </w:r>
      <w:r w:rsidR="00D92DD0">
        <w:rPr>
          <w:shd w:val="clear" w:color="auto" w:fill="FFFFFF"/>
          <w:lang w:val="en-US"/>
        </w:rPr>
        <w:t>)</w:t>
      </w:r>
      <w:r w:rsidRPr="00630CCA">
        <w:rPr>
          <w:shd w:val="clear" w:color="auto" w:fill="FFFFFF"/>
          <w:lang w:val="en-US"/>
        </w:rPr>
        <w:t>. Geography, industrial organization, and agglomeration. review of Economics and Statistics, 85(2), pp.377-393.</w:t>
      </w:r>
    </w:p>
    <w:p w14:paraId="227C8A13" w14:textId="6ABE680E" w:rsidR="00F37EA5" w:rsidRPr="00630CCA" w:rsidRDefault="00F37EA5" w:rsidP="00F37EA5">
      <w:pPr>
        <w:pStyle w:val="BodyText"/>
        <w:rPr>
          <w:shd w:val="clear" w:color="auto" w:fill="FFFFFF"/>
          <w:lang w:val="en-US"/>
        </w:rPr>
      </w:pPr>
      <w:r w:rsidRPr="00630CCA">
        <w:rPr>
          <w:shd w:val="clear" w:color="auto" w:fill="FFFFFF"/>
          <w:lang w:val="en-US"/>
        </w:rPr>
        <w:t xml:space="preserve">Rosenthal, S.S. ja Strange, W.C. </w:t>
      </w:r>
      <w:r w:rsidR="00D92DD0">
        <w:rPr>
          <w:shd w:val="clear" w:color="auto" w:fill="FFFFFF"/>
          <w:lang w:val="en-US"/>
        </w:rPr>
        <w:t>(</w:t>
      </w:r>
      <w:r w:rsidRPr="00630CCA">
        <w:rPr>
          <w:shd w:val="clear" w:color="auto" w:fill="FFFFFF"/>
          <w:lang w:val="en-US"/>
        </w:rPr>
        <w:t>2004</w:t>
      </w:r>
      <w:r w:rsidR="00D92DD0">
        <w:rPr>
          <w:shd w:val="clear" w:color="auto" w:fill="FFFFFF"/>
          <w:lang w:val="en-US"/>
        </w:rPr>
        <w:t>)</w:t>
      </w:r>
      <w:r w:rsidRPr="00630CCA">
        <w:rPr>
          <w:shd w:val="clear" w:color="auto" w:fill="FFFFFF"/>
          <w:lang w:val="en-US"/>
        </w:rPr>
        <w:t>. Evidence on the nature and sources of agglomeration economies. In Handbook of regional and urban economics (Vol. 4, pp. 2119-2171). Elsevier.</w:t>
      </w:r>
    </w:p>
    <w:p w14:paraId="1EC9AE4E" w14:textId="3379C9E0" w:rsidR="00F37EA5" w:rsidRPr="00630CCA" w:rsidRDefault="00F37EA5" w:rsidP="00F37EA5">
      <w:pPr>
        <w:pStyle w:val="BodyText"/>
        <w:rPr>
          <w:shd w:val="clear" w:color="auto" w:fill="FFFFFF"/>
          <w:lang w:val="en-US"/>
        </w:rPr>
      </w:pPr>
      <w:r w:rsidRPr="00630CCA">
        <w:rPr>
          <w:shd w:val="clear" w:color="auto" w:fill="FFFFFF"/>
          <w:lang w:val="en-US"/>
        </w:rPr>
        <w:t xml:space="preserve">Rosenthal, S.S. ja Strange, W.C. </w:t>
      </w:r>
      <w:r w:rsidR="00D92DD0">
        <w:rPr>
          <w:shd w:val="clear" w:color="auto" w:fill="FFFFFF"/>
          <w:lang w:val="en-US"/>
        </w:rPr>
        <w:t>(</w:t>
      </w:r>
      <w:r w:rsidRPr="00630CCA">
        <w:rPr>
          <w:shd w:val="clear" w:color="auto" w:fill="FFFFFF"/>
          <w:lang w:val="en-US"/>
        </w:rPr>
        <w:t>2005</w:t>
      </w:r>
      <w:r w:rsidR="00D92DD0">
        <w:rPr>
          <w:shd w:val="clear" w:color="auto" w:fill="FFFFFF"/>
          <w:lang w:val="en-US"/>
        </w:rPr>
        <w:t>)</w:t>
      </w:r>
      <w:r w:rsidRPr="00630CCA">
        <w:rPr>
          <w:shd w:val="clear" w:color="auto" w:fill="FFFFFF"/>
          <w:lang w:val="en-US"/>
        </w:rPr>
        <w:t>. The geography of entrepreneurship in the New York metropolitan area. Federal Reserve Bank of New York Economic Policy Review, 11(2), pp.29-54.</w:t>
      </w:r>
    </w:p>
    <w:p w14:paraId="3A30B10A" w14:textId="2B994D8B" w:rsidR="00F37EA5" w:rsidRPr="00630CCA" w:rsidRDefault="00F37EA5" w:rsidP="00F37EA5">
      <w:pPr>
        <w:pStyle w:val="BodyText"/>
        <w:rPr>
          <w:shd w:val="clear" w:color="auto" w:fill="FFFFFF"/>
          <w:lang w:val="en-US"/>
        </w:rPr>
      </w:pPr>
      <w:r w:rsidRPr="00630CCA">
        <w:rPr>
          <w:shd w:val="clear" w:color="auto" w:fill="FFFFFF"/>
          <w:lang w:val="en-US"/>
        </w:rPr>
        <w:t xml:space="preserve">Rosenthal, S.S. ja Strange, W.C. </w:t>
      </w:r>
      <w:r w:rsidR="00D92DD0">
        <w:rPr>
          <w:shd w:val="clear" w:color="auto" w:fill="FFFFFF"/>
          <w:lang w:val="en-US"/>
        </w:rPr>
        <w:t>(</w:t>
      </w:r>
      <w:r w:rsidRPr="00630CCA">
        <w:rPr>
          <w:shd w:val="clear" w:color="auto" w:fill="FFFFFF"/>
          <w:lang w:val="en-US"/>
        </w:rPr>
        <w:t>2020</w:t>
      </w:r>
      <w:r w:rsidR="00D92DD0">
        <w:rPr>
          <w:shd w:val="clear" w:color="auto" w:fill="FFFFFF"/>
          <w:lang w:val="en-US"/>
        </w:rPr>
        <w:t>)</w:t>
      </w:r>
      <w:r w:rsidRPr="00630CCA">
        <w:rPr>
          <w:shd w:val="clear" w:color="auto" w:fill="FFFFFF"/>
          <w:lang w:val="en-US"/>
        </w:rPr>
        <w:t>. How close is close? the spatial reach of agglomeration economies. Journal of Economic Perspectives, 34(3), pp.27-49.</w:t>
      </w:r>
    </w:p>
    <w:p w14:paraId="7904AA24" w14:textId="03320CC5" w:rsidR="00F37EA5" w:rsidRDefault="00F37EA5" w:rsidP="00F37EA5">
      <w:pPr>
        <w:pStyle w:val="BodyText"/>
        <w:rPr>
          <w:shd w:val="clear" w:color="auto" w:fill="FFFFFF"/>
          <w:lang w:val="en-US"/>
        </w:rPr>
      </w:pPr>
      <w:r w:rsidRPr="00630CCA">
        <w:rPr>
          <w:shd w:val="clear" w:color="auto" w:fill="FFFFFF"/>
          <w:lang w:val="en-US"/>
        </w:rPr>
        <w:t xml:space="preserve">Venables, A.J. </w:t>
      </w:r>
      <w:r w:rsidR="00D92DD0">
        <w:rPr>
          <w:shd w:val="clear" w:color="auto" w:fill="FFFFFF"/>
          <w:lang w:val="en-US"/>
        </w:rPr>
        <w:t>(</w:t>
      </w:r>
      <w:r w:rsidRPr="00630CCA">
        <w:rPr>
          <w:shd w:val="clear" w:color="auto" w:fill="FFFFFF"/>
          <w:lang w:val="en-US"/>
        </w:rPr>
        <w:t>2017</w:t>
      </w:r>
      <w:r w:rsidR="00D92DD0">
        <w:rPr>
          <w:shd w:val="clear" w:color="auto" w:fill="FFFFFF"/>
          <w:lang w:val="en-US"/>
        </w:rPr>
        <w:t>)</w:t>
      </w:r>
      <w:r w:rsidRPr="00630CCA">
        <w:rPr>
          <w:shd w:val="clear" w:color="auto" w:fill="FFFFFF"/>
          <w:lang w:val="en-US"/>
        </w:rPr>
        <w:t>. Incorporating wider economic impacts within cost-benefit appraisal. ITF Roundtable Reports Quantifying the Socio-economic Benefits of Transport, 109.</w:t>
      </w:r>
    </w:p>
    <w:p w14:paraId="3220A66D" w14:textId="3C23069C" w:rsidR="00046C96" w:rsidRPr="00046C96" w:rsidRDefault="00046C96" w:rsidP="00F37EA5">
      <w:pPr>
        <w:pStyle w:val="BodyText"/>
        <w:rPr>
          <w:shd w:val="clear" w:color="auto" w:fill="FFFFFF"/>
        </w:rPr>
      </w:pPr>
      <w:r w:rsidRPr="003806D8">
        <w:rPr>
          <w:shd w:val="clear" w:color="auto" w:fill="FFFFFF"/>
        </w:rPr>
        <w:t>Väylävirasto (2020). Tie- ja rautatieliikenteen hankearvioinnin yksikköarvot 2018. Väyläviraston ohjeita 40/2020.</w:t>
      </w:r>
      <w:r w:rsidRPr="00046C96">
        <w:rPr>
          <w:shd w:val="clear" w:color="auto" w:fill="FFFFFF"/>
        </w:rPr>
        <w:t xml:space="preserve"> </w:t>
      </w:r>
    </w:p>
    <w:p w14:paraId="6796E8FE" w14:textId="77777777" w:rsidR="00585D1D" w:rsidRPr="00046C96" w:rsidRDefault="00585D1D" w:rsidP="00044143"/>
    <w:p w14:paraId="23753DCE" w14:textId="77777777" w:rsidR="00D577E9" w:rsidRPr="00046C96" w:rsidRDefault="00D577E9" w:rsidP="00D577E9">
      <w:pPr>
        <w:pStyle w:val="BodyText"/>
        <w:rPr>
          <w:rFonts w:eastAsiaTheme="majorEastAsia" w:cstheme="majorHAnsi"/>
          <w:sz w:val="28"/>
          <w:szCs w:val="28"/>
        </w:rPr>
      </w:pPr>
      <w:r w:rsidRPr="00046C96">
        <w:br w:type="page"/>
      </w:r>
    </w:p>
    <w:p w14:paraId="41F90141" w14:textId="2F273FE7" w:rsidR="00BE5208" w:rsidRPr="000301E2" w:rsidRDefault="00D577E9" w:rsidP="009932F4">
      <w:pPr>
        <w:pStyle w:val="Heading9"/>
      </w:pPr>
      <w:r w:rsidRPr="00F369C7">
        <w:lastRenderedPageBreak/>
        <w:t>Liite</w:t>
      </w:r>
      <w:r w:rsidR="009932F4">
        <w:t xml:space="preserve"> 1. </w:t>
      </w:r>
      <w:r w:rsidR="009932F4" w:rsidRPr="009932F4">
        <w:t>Tehokkaan</w:t>
      </w:r>
      <w:r w:rsidR="009932F4">
        <w:t xml:space="preserve"> tiheyden mallien estimointi</w:t>
      </w:r>
    </w:p>
    <w:p w14:paraId="2E8C2C90" w14:textId="3CA28245" w:rsidR="00424C99" w:rsidRPr="004B2F7F" w:rsidRDefault="00BE5208" w:rsidP="00D577E9">
      <w:pPr>
        <w:pStyle w:val="BodyText"/>
      </w:pPr>
      <w:r w:rsidRPr="004B2F7F">
        <w:t xml:space="preserve">Työssä muodostetut tehokkaan tiheyden mallit on estimoitu Helmet 4.0 mallin työperäisten matkojen </w:t>
      </w:r>
      <w:r w:rsidR="0063507F" w:rsidRPr="004B2F7F">
        <w:t>kulkutapakohtaisista</w:t>
      </w:r>
      <w:r w:rsidRPr="004B2F7F">
        <w:t xml:space="preserve"> </w:t>
      </w:r>
      <w:r w:rsidR="0063507F" w:rsidRPr="004B2F7F">
        <w:t>kysyntämatriiseista</w:t>
      </w:r>
      <w:r w:rsidR="00424C99" w:rsidRPr="004B2F7F">
        <w:t>,</w:t>
      </w:r>
      <w:r w:rsidR="0063507F" w:rsidRPr="004B2F7F">
        <w:t xml:space="preserve"> päivätuntiliikennettä </w:t>
      </w:r>
      <w:r w:rsidR="0063507F" w:rsidRPr="00A552AC">
        <w:t xml:space="preserve">kuvaavista liikennejärjestelmän vastusmatriiseista ja työpaikkamäärämatriiseista. </w:t>
      </w:r>
      <w:r w:rsidR="00502341" w:rsidRPr="00A552AC">
        <w:t xml:space="preserve">Työperäisten matkojen kysyntämallin laadinnassa on ollut käytettävissä yli 600 meno-paluumatkaa. Kysyntämalli on laadittu liikkumistutkimuksen otosaineiston pohjalta. </w:t>
      </w:r>
      <w:r w:rsidR="0063507F" w:rsidRPr="004B2F7F">
        <w:t xml:space="preserve">Alueiden sisäiset kulkutapakohtaiset vastukset on laskettu jakamalla </w:t>
      </w:r>
      <w:r w:rsidR="00424C99" w:rsidRPr="004B2F7F">
        <w:t xml:space="preserve">lähimmän naapurialueen </w:t>
      </w:r>
      <w:r w:rsidR="0063507F" w:rsidRPr="004B2F7F">
        <w:t xml:space="preserve">yleistetyt kulkutapakohtaiset matkavastukset tekijällä </w:t>
      </w:r>
      <m:oMath>
        <m:rad>
          <m:radPr>
            <m:degHide m:val="1"/>
            <m:ctrlPr>
              <w:rPr>
                <w:rFonts w:ascii="Cambria Math" w:hAnsi="Cambria Math"/>
                <w:i/>
              </w:rPr>
            </m:ctrlPr>
          </m:radPr>
          <m:deg/>
          <m:e>
            <m:r>
              <w:rPr>
                <w:rFonts w:ascii="Cambria Math" w:hAnsi="Cambria Math"/>
              </w:rPr>
              <m:t>2</m:t>
            </m:r>
          </m:e>
        </m:rad>
      </m:oMath>
      <w:r w:rsidR="0063507F" w:rsidRPr="004B2F7F">
        <w:t>.</w:t>
      </w:r>
    </w:p>
    <w:p w14:paraId="742A23C2" w14:textId="77777777" w:rsidR="00424C99" w:rsidRPr="004B2F7F" w:rsidRDefault="0063507F" w:rsidP="00424C99">
      <w:pPr>
        <w:pStyle w:val="BodyText"/>
      </w:pPr>
      <w:r w:rsidRPr="004B2F7F">
        <w:t>Työperäiset matkat pitävät sisällään myös muita kuin työasiamatkoja (mm. lounas- ja asiointimatkat työpäivän aikana). Estimointiin valittiin satunnaisest</w:t>
      </w:r>
      <w:r w:rsidR="00424C99" w:rsidRPr="004B2F7F">
        <w:t>i</w:t>
      </w:r>
      <w:r w:rsidR="00424C99" w:rsidRPr="004B2F7F">
        <w:br/>
      </w:r>
      <w:r w:rsidRPr="004B2F7F">
        <w:t>70 % kysyntämatriisin alkio</w:t>
      </w:r>
      <w:r w:rsidR="00424C99" w:rsidRPr="004B2F7F">
        <w:t>i</w:t>
      </w:r>
      <w:r w:rsidRPr="004B2F7F">
        <w:t>sta. Loppuja 30 % matriisialkioista käytettiin mallien va</w:t>
      </w:r>
      <w:r w:rsidR="009A0A58" w:rsidRPr="004B2F7F">
        <w:t>lidoinnissa.</w:t>
      </w:r>
    </w:p>
    <w:p w14:paraId="09DE55D7" w14:textId="083D32C8" w:rsidR="009A0A58" w:rsidRPr="004B2F7F" w:rsidRDefault="009A0A58" w:rsidP="00424C99">
      <w:pPr>
        <w:pStyle w:val="BodyText"/>
      </w:pPr>
      <w:r w:rsidRPr="004B2F7F">
        <w:t>Malli</w:t>
      </w:r>
      <w:r w:rsidR="00424C99" w:rsidRPr="004B2F7F">
        <w:t>en</w:t>
      </w:r>
      <w:r w:rsidRPr="004B2F7F">
        <w:t xml:space="preserve"> estimoinnista saa</w:t>
      </w:r>
      <w:r w:rsidR="00424C99" w:rsidRPr="004B2F7F">
        <w:t>dut</w:t>
      </w:r>
      <w:r w:rsidRPr="004B2F7F">
        <w:t xml:space="preserve"> </w:t>
      </w:r>
      <w:r w:rsidR="00424C99" w:rsidRPr="004B2F7F">
        <w:t>työpaikkamäärien kertoimet</w:t>
      </w:r>
      <w:r w:rsidRPr="004B2F7F">
        <w:t xml:space="preserve"> skaalattiin esimerkkilaskelmissa niin</w:t>
      </w:r>
      <w:r w:rsidR="00424C99" w:rsidRPr="004B2F7F">
        <w:t>,</w:t>
      </w:r>
      <w:r w:rsidRPr="004B2F7F">
        <w:t xml:space="preserve"> että </w:t>
      </w:r>
      <w:r w:rsidR="000301E2" w:rsidRPr="004B2F7F">
        <w:t>tehokkaan tiheyden maksimiarvoksi tuli 1000 vuoden 2020 aineistolla. Alla olev</w:t>
      </w:r>
      <w:r w:rsidR="00033691" w:rsidRPr="004B2F7F">
        <w:t>issa</w:t>
      </w:r>
      <w:r w:rsidR="000301E2" w:rsidRPr="004B2F7F">
        <w:t xml:space="preserve"> tauluko</w:t>
      </w:r>
      <w:r w:rsidR="00033691" w:rsidRPr="004B2F7F">
        <w:t>i</w:t>
      </w:r>
      <w:r w:rsidR="000301E2" w:rsidRPr="004B2F7F">
        <w:t>ssa näky</w:t>
      </w:r>
      <w:r w:rsidR="00033691" w:rsidRPr="004B2F7F">
        <w:t>vät</w:t>
      </w:r>
      <w:r w:rsidR="000301E2" w:rsidRPr="004B2F7F">
        <w:t xml:space="preserve"> estimoinnista saa</w:t>
      </w:r>
      <w:r w:rsidR="00033691" w:rsidRPr="004B2F7F">
        <w:t>dut</w:t>
      </w:r>
      <w:r w:rsidR="00424C99" w:rsidRPr="004B2F7F">
        <w:t xml:space="preserve"> </w:t>
      </w:r>
      <w:r w:rsidR="00033691" w:rsidRPr="004B2F7F">
        <w:t>kertoimet sekä esimerkkiarvojen laskennassa käytetyt skaalatut kertoimet.</w:t>
      </w:r>
    </w:p>
    <w:p w14:paraId="079337B2" w14:textId="77777777" w:rsidR="000301E2" w:rsidRPr="004B2F7F" w:rsidRDefault="000301E2" w:rsidP="000301E2">
      <w:pPr>
        <w:pStyle w:val="BodyText"/>
      </w:pPr>
      <w:r w:rsidRPr="004B2F7F">
        <w:t>Kaikille toimialoille yhteinen malli:</w:t>
      </w:r>
    </w:p>
    <w:p w14:paraId="35CC6016" w14:textId="6B99C84A" w:rsidR="000301E2" w:rsidRPr="004B2F7F" w:rsidRDefault="000301E2" w:rsidP="000301E2">
      <w:pPr>
        <w:pStyle w:val="BodyText"/>
      </w:pPr>
      <w:r w:rsidRPr="004B2F7F">
        <w:rPr>
          <w:rFonts w:eastAsiaTheme="minorEastAsia"/>
          <w:iCs/>
        </w:rPr>
        <w:tab/>
      </w:r>
      <m:oMath>
        <m:sSub>
          <m:sSubPr>
            <m:ctrlPr>
              <w:rPr>
                <w:rFonts w:ascii="Cambria Math" w:hAnsi="Cambria Math"/>
                <w:i/>
                <w:iCs/>
              </w:rPr>
            </m:ctrlPr>
          </m:sSubPr>
          <m:e>
            <m:r>
              <w:rPr>
                <w:rFonts w:ascii="Cambria Math" w:hAnsi="Cambria Math"/>
              </w:rPr>
              <m:t>A</m:t>
            </m:r>
          </m:e>
          <m:sub>
            <m:r>
              <w:rPr>
                <w:rFonts w:ascii="Cambria Math" w:hAnsi="Cambria Math"/>
              </w:rPr>
              <m:t>rt</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0</m:t>
            </m:r>
          </m:sub>
        </m:sSub>
        <m:nary>
          <m:naryPr>
            <m:chr m:val="∑"/>
            <m:supHide m:val="1"/>
            <m:ctrlPr>
              <w:rPr>
                <w:rFonts w:ascii="Cambria Math" w:hAnsi="Cambria Math"/>
                <w:i/>
                <w:iCs/>
              </w:rPr>
            </m:ctrlPr>
          </m:naryPr>
          <m:sub>
            <m:sSup>
              <m:sSupPr>
                <m:ctrlPr>
                  <w:rPr>
                    <w:rFonts w:ascii="Cambria Math" w:hAnsi="Cambria Math"/>
                    <w:i/>
                    <w:iCs/>
                  </w:rPr>
                </m:ctrlPr>
              </m:sSupPr>
              <m:e>
                <m:r>
                  <w:rPr>
                    <w:rFonts w:ascii="Cambria Math" w:hAnsi="Cambria Math"/>
                  </w:rPr>
                  <m:t>r</m:t>
                </m:r>
              </m:e>
              <m:sup>
                <m:r>
                  <w:rPr>
                    <w:rFonts w:ascii="Cambria Math" w:hAnsi="Cambria Math"/>
                  </w:rPr>
                  <m:t>'</m:t>
                </m:r>
              </m:sup>
            </m:sSup>
            <m:r>
              <w:rPr>
                <w:rFonts w:ascii="Cambria Math" w:hAnsi="Cambria Math"/>
              </w:rPr>
              <m:t>∈R</m:t>
            </m:r>
          </m:sub>
          <m:sup/>
          <m:e>
            <m:sSup>
              <m:sSupPr>
                <m:ctrlPr>
                  <w:rPr>
                    <w:rFonts w:ascii="Cambria Math" w:hAnsi="Cambria Math"/>
                    <w:i/>
                    <w:iCs/>
                  </w:rPr>
                </m:ctrlPr>
              </m:sSupPr>
              <m:e>
                <m:sSub>
                  <m:sSubPr>
                    <m:ctrlPr>
                      <w:rPr>
                        <w:rFonts w:ascii="Cambria Math" w:hAnsi="Cambria Math"/>
                        <w:i/>
                        <w:iCs/>
                      </w:rPr>
                    </m:ctrlPr>
                  </m:sSubPr>
                  <m:e>
                    <m:r>
                      <w:rPr>
                        <w:rFonts w:ascii="Cambria Math" w:hAnsi="Cambria Math"/>
                      </w:rPr>
                      <m:t>n</m:t>
                    </m:r>
                  </m:e>
                  <m:sub>
                    <m:r>
                      <w:rPr>
                        <w:rFonts w:ascii="Cambria Math" w:hAnsi="Cambria Math"/>
                      </w:rPr>
                      <m:t>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e</m:t>
                </m:r>
              </m:e>
              <m:sup>
                <m:r>
                  <w:rPr>
                    <w:rFonts w:ascii="Cambria Math" w:hAnsi="Cambria Math"/>
                  </w:rPr>
                  <m:t>b*</m:t>
                </m:r>
                <m:sSub>
                  <m:sSubPr>
                    <m:ctrlPr>
                      <w:rPr>
                        <w:rFonts w:ascii="Cambria Math" w:hAnsi="Cambria Math"/>
                        <w:i/>
                        <w:iCs/>
                      </w:rPr>
                    </m:ctrlPr>
                  </m:sSubPr>
                  <m:e>
                    <m:r>
                      <w:rPr>
                        <w:rFonts w:ascii="Cambria Math" w:hAnsi="Cambria Math"/>
                      </w:rPr>
                      <m:t>gc</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sup>
            </m:sSup>
          </m:e>
        </m:nary>
      </m:oMath>
    </w:p>
    <w:p w14:paraId="7C8EFD36" w14:textId="77777777" w:rsidR="000301E2" w:rsidRPr="004B2F7F" w:rsidRDefault="0040610B" w:rsidP="000301E2">
      <w:pPr>
        <w:pStyle w:val="BodyText"/>
      </w:pPr>
      <m:oMath>
        <m:sSub>
          <m:sSubPr>
            <m:ctrlPr>
              <w:rPr>
                <w:rFonts w:ascii="Cambria Math" w:hAnsi="Cambria Math"/>
                <w:i/>
                <w:iCs/>
              </w:rPr>
            </m:ctrlPr>
          </m:sSubPr>
          <m:e>
            <m:r>
              <w:rPr>
                <w:rFonts w:ascii="Cambria Math" w:hAnsi="Cambria Math"/>
              </w:rPr>
              <m:t>A</m:t>
            </m:r>
          </m:e>
          <m:sub>
            <m:r>
              <w:rPr>
                <w:rFonts w:ascii="Cambria Math" w:hAnsi="Cambria Math"/>
              </w:rPr>
              <m:t>rt</m:t>
            </m:r>
          </m:sub>
        </m:sSub>
      </m:oMath>
      <w:r w:rsidR="000301E2" w:rsidRPr="004B2F7F">
        <w:t xml:space="preserve"> = Alueen r tehokas tiheys ajan hetkellä t</w:t>
      </w:r>
    </w:p>
    <w:p w14:paraId="1494FCED" w14:textId="77777777" w:rsidR="000301E2" w:rsidRPr="004B2F7F" w:rsidRDefault="0040610B" w:rsidP="000301E2">
      <w:pPr>
        <w:pStyle w:val="BodyText"/>
      </w:pPr>
      <m:oMath>
        <m:sSub>
          <m:sSubPr>
            <m:ctrlPr>
              <w:rPr>
                <w:rFonts w:ascii="Cambria Math" w:hAnsi="Cambria Math"/>
                <w:i/>
                <w:iCs/>
              </w:rPr>
            </m:ctrlPr>
          </m:sSubPr>
          <m:e>
            <m:r>
              <w:rPr>
                <w:rFonts w:ascii="Cambria Math" w:hAnsi="Cambria Math"/>
              </w:rPr>
              <m:t>gc</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oMath>
      <w:r w:rsidR="000301E2" w:rsidRPr="004B2F7F">
        <w:t xml:space="preserve"> = yleistetty matkavastus alueiden </w:t>
      </w:r>
      <m:oMath>
        <m:r>
          <w:rPr>
            <w:rFonts w:ascii="Cambria Math" w:hAnsi="Cambria Math"/>
          </w:rPr>
          <m:t>r ja </m:t>
        </m:r>
        <m:sSup>
          <m:sSupPr>
            <m:ctrlPr>
              <w:rPr>
                <w:rFonts w:ascii="Cambria Math" w:hAnsi="Cambria Math"/>
                <w:i/>
                <w:iCs/>
              </w:rPr>
            </m:ctrlPr>
          </m:sSupPr>
          <m:e>
            <m:r>
              <w:rPr>
                <w:rFonts w:ascii="Cambria Math" w:hAnsi="Cambria Math"/>
              </w:rPr>
              <m:t>r</m:t>
            </m:r>
          </m:e>
          <m:sup>
            <m:r>
              <w:rPr>
                <w:rFonts w:ascii="Cambria Math" w:hAnsi="Cambria Math"/>
              </w:rPr>
              <m:t>'</m:t>
            </m:r>
          </m:sup>
        </m:sSup>
      </m:oMath>
      <w:r w:rsidR="000301E2" w:rsidRPr="004B2F7F">
        <w:t xml:space="preserve"> välillä ajan hetkellä t</w:t>
      </w:r>
    </w:p>
    <w:p w14:paraId="6CB8C610" w14:textId="12ADFBD6" w:rsidR="000301E2" w:rsidRPr="004B2F7F" w:rsidRDefault="0040610B" w:rsidP="000301E2">
      <w:pPr>
        <w:pStyle w:val="BodyText"/>
      </w:pPr>
      <m:oMath>
        <m:sSub>
          <m:sSubPr>
            <m:ctrlPr>
              <w:rPr>
                <w:rFonts w:ascii="Cambria Math" w:hAnsi="Cambria Math"/>
                <w:i/>
                <w:iCs/>
              </w:rPr>
            </m:ctrlPr>
          </m:sSubPr>
          <m:e>
            <m:r>
              <w:rPr>
                <w:rFonts w:ascii="Cambria Math" w:hAnsi="Cambria Math"/>
              </w:rPr>
              <m:t>n</m:t>
            </m:r>
          </m:e>
          <m:sub>
            <m:r>
              <w:rPr>
                <w:rFonts w:ascii="Cambria Math" w:hAnsi="Cambria Math"/>
              </w:rPr>
              <m:t>mt</m:t>
            </m:r>
            <m:sSup>
              <m:sSupPr>
                <m:ctrlPr>
                  <w:rPr>
                    <w:rFonts w:ascii="Cambria Math" w:hAnsi="Cambria Math"/>
                    <w:i/>
                    <w:iCs/>
                  </w:rPr>
                </m:ctrlPr>
              </m:sSupPr>
              <m:e>
                <m:r>
                  <w:rPr>
                    <w:rFonts w:ascii="Cambria Math" w:hAnsi="Cambria Math"/>
                  </w:rPr>
                  <m:t>r</m:t>
                </m:r>
              </m:e>
              <m:sup>
                <m:r>
                  <w:rPr>
                    <w:rFonts w:ascii="Cambria Math" w:hAnsi="Cambria Math"/>
                  </w:rPr>
                  <m:t>'</m:t>
                </m:r>
              </m:sup>
            </m:sSup>
          </m:sub>
        </m:sSub>
      </m:oMath>
      <w:r w:rsidR="000301E2" w:rsidRPr="004B2F7F">
        <w:t xml:space="preserve"> = alueen </w:t>
      </w:r>
      <m:oMath>
        <m:sSup>
          <m:sSupPr>
            <m:ctrlPr>
              <w:rPr>
                <w:rFonts w:ascii="Cambria Math" w:hAnsi="Cambria Math"/>
                <w:i/>
                <w:iCs/>
              </w:rPr>
            </m:ctrlPr>
          </m:sSupPr>
          <m:e>
            <m:r>
              <w:rPr>
                <w:rFonts w:ascii="Cambria Math" w:hAnsi="Cambria Math"/>
              </w:rPr>
              <m:t>r</m:t>
            </m:r>
          </m:e>
          <m:sup>
            <m:r>
              <w:rPr>
                <w:rFonts w:ascii="Cambria Math" w:hAnsi="Cambria Math"/>
              </w:rPr>
              <m:t>'</m:t>
            </m:r>
          </m:sup>
        </m:sSup>
      </m:oMath>
      <w:r w:rsidR="000301E2" w:rsidRPr="004B2F7F">
        <w:t xml:space="preserve"> työpaikkamäärä ajan hetkellä t</w:t>
      </w:r>
    </w:p>
    <w:p w14:paraId="3CBF2BEE" w14:textId="05ADE202" w:rsidR="000301E2" w:rsidRPr="004B2F7F" w:rsidRDefault="00544B29" w:rsidP="000301E2">
      <w:pPr>
        <w:pStyle w:val="BodyText"/>
      </w:pPr>
      <w:r w:rsidRPr="004B2F7F">
        <w:rPr>
          <w:noProof/>
          <w:lang w:eastAsia="fi-FI"/>
        </w:rPr>
        <w:drawing>
          <wp:inline distT="0" distB="0" distL="0" distR="0" wp14:anchorId="02F542C4" wp14:editId="18BADA50">
            <wp:extent cx="5270500" cy="1193746"/>
            <wp:effectExtent l="0" t="0" r="6350" b="6985"/>
            <wp:docPr id="35" name="Kuv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06827" cy="1201974"/>
                    </a:xfrm>
                    <a:prstGeom prst="rect">
                      <a:avLst/>
                    </a:prstGeom>
                    <a:noFill/>
                    <a:ln>
                      <a:noFill/>
                    </a:ln>
                  </pic:spPr>
                </pic:pic>
              </a:graphicData>
            </a:graphic>
          </wp:inline>
        </w:drawing>
      </w:r>
    </w:p>
    <w:p w14:paraId="0D052B8C" w14:textId="77777777" w:rsidR="000301E2" w:rsidRPr="004B2F7F" w:rsidRDefault="000301E2" w:rsidP="000301E2">
      <w:pPr>
        <w:pStyle w:val="BodyText"/>
      </w:pPr>
      <w:r w:rsidRPr="004B2F7F">
        <w:t>Toimialat erotteleva malli:</w:t>
      </w:r>
    </w:p>
    <w:p w14:paraId="1A64446C" w14:textId="04BEAD9D" w:rsidR="000301E2" w:rsidRPr="004B2F7F" w:rsidRDefault="0040610B" w:rsidP="000301E2">
      <w:pPr>
        <w:pStyle w:val="BodyText"/>
      </w:pPr>
      <m:oMathPara>
        <m:oMath>
          <m:sSub>
            <m:sSubPr>
              <m:ctrlPr>
                <w:rPr>
                  <w:rFonts w:ascii="Cambria Math" w:hAnsi="Cambria Math"/>
                  <w:i/>
                  <w:iCs/>
                </w:rPr>
              </m:ctrlPr>
            </m:sSubPr>
            <m:e>
              <m:r>
                <w:rPr>
                  <w:rFonts w:ascii="Cambria Math" w:hAnsi="Cambria Math"/>
                </w:rPr>
                <m:t>A</m:t>
              </m:r>
            </m:e>
            <m:sub>
              <m:r>
                <w:rPr>
                  <w:rFonts w:ascii="Cambria Math" w:hAnsi="Cambria Math"/>
                </w:rPr>
                <m:t>rt</m:t>
              </m:r>
            </m:sub>
          </m:sSub>
          <m:r>
            <w:rPr>
              <w:rFonts w:ascii="Cambria Math" w:hAnsi="Cambria Math"/>
            </w:rPr>
            <m:t>= </m:t>
          </m:r>
          <m:nary>
            <m:naryPr>
              <m:chr m:val="∑"/>
              <m:supHide m:val="1"/>
              <m:ctrlPr>
                <w:rPr>
                  <w:rFonts w:ascii="Cambria Math" w:hAnsi="Cambria Math"/>
                  <w:i/>
                  <w:iCs/>
                </w:rPr>
              </m:ctrlPr>
            </m:naryPr>
            <m:sub>
              <m:sSup>
                <m:sSupPr>
                  <m:ctrlPr>
                    <w:rPr>
                      <w:rFonts w:ascii="Cambria Math" w:hAnsi="Cambria Math"/>
                      <w:i/>
                      <w:iCs/>
                    </w:rPr>
                  </m:ctrlPr>
                </m:sSupPr>
                <m:e>
                  <m:r>
                    <w:rPr>
                      <w:rFonts w:ascii="Cambria Math" w:hAnsi="Cambria Math"/>
                    </w:rPr>
                    <m:t>r</m:t>
                  </m:r>
                </m:e>
                <m:sup>
                  <m:r>
                    <w:rPr>
                      <w:rFonts w:ascii="Cambria Math" w:hAnsi="Cambria Math"/>
                    </w:rPr>
                    <m:t>'</m:t>
                  </m:r>
                </m:sup>
              </m:sSup>
              <m:r>
                <w:rPr>
                  <w:rFonts w:ascii="Cambria Math" w:hAnsi="Cambria Math"/>
                </w:rPr>
                <m:t>∈R</m:t>
              </m:r>
            </m:sub>
            <m:sup/>
            <m:e>
              <m:sSub>
                <m:sSubPr>
                  <m:ctrlPr>
                    <w:rPr>
                      <w:rFonts w:ascii="Cambria Math" w:hAnsi="Cambria Math"/>
                      <w:i/>
                      <w:iCs/>
                    </w:rPr>
                  </m:ctrlPr>
                </m:sSubPr>
                <m:e>
                  <m:sSub>
                    <m:sSubPr>
                      <m:ctrlPr>
                        <w:rPr>
                          <w:rFonts w:ascii="Cambria Math" w:hAnsi="Cambria Math"/>
                          <w:i/>
                          <w:iCs/>
                        </w:rPr>
                      </m:ctrlPr>
                    </m:sSubPr>
                    <m:e>
                      <m:r>
                        <w:rPr>
                          <w:rFonts w:ascii="Cambria Math" w:hAnsi="Cambria Math"/>
                        </w:rPr>
                        <m:t>(a</m:t>
                      </m:r>
                    </m:e>
                    <m:sub>
                      <m:r>
                        <w:rPr>
                          <w:rFonts w:ascii="Cambria Math" w:hAnsi="Cambria Math"/>
                        </w:rPr>
                        <m:t>1</m:t>
                      </m:r>
                    </m:sub>
                  </m:sSub>
                  <m:r>
                    <w:rPr>
                      <w:rFonts w:ascii="Cambria Math" w:hAnsi="Cambria Math"/>
                    </w:rPr>
                    <m:t>n</m:t>
                  </m:r>
                </m:e>
                <m:sub>
                  <m:r>
                    <w:rPr>
                      <w:rFonts w:ascii="Cambria Math" w:hAnsi="Cambria Math"/>
                    </w:rPr>
                    <m:t>1t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sSub>
                <m:sSubPr>
                  <m:ctrlPr>
                    <w:rPr>
                      <w:rFonts w:ascii="Cambria Math" w:hAnsi="Cambria Math"/>
                      <w:i/>
                      <w:iCs/>
                    </w:rPr>
                  </m:ctrlPr>
                </m:sSubPr>
                <m:e>
                  <m:r>
                    <w:rPr>
                      <w:rFonts w:ascii="Cambria Math" w:hAnsi="Cambria Math"/>
                    </w:rPr>
                    <m:t> </m:t>
                  </m:r>
                  <m:sSub>
                    <m:sSubPr>
                      <m:ctrlPr>
                        <w:rPr>
                          <w:rFonts w:ascii="Cambria Math" w:hAnsi="Cambria Math"/>
                          <w:i/>
                          <w:iCs/>
                        </w:rPr>
                      </m:ctrlPr>
                    </m:sSubPr>
                    <m:e>
                      <m:r>
                        <w:rPr>
                          <w:rFonts w:ascii="Cambria Math" w:hAnsi="Cambria Math"/>
                        </w:rPr>
                        <m:t> a</m:t>
                      </m:r>
                    </m:e>
                    <m:sub>
                      <m:r>
                        <w:rPr>
                          <w:rFonts w:ascii="Cambria Math" w:hAnsi="Cambria Math"/>
                        </w:rPr>
                        <m:t>2</m:t>
                      </m:r>
                    </m:sub>
                  </m:sSub>
                  <m:r>
                    <w:rPr>
                      <w:rFonts w:ascii="Cambria Math" w:hAnsi="Cambria Math"/>
                    </w:rPr>
                    <m:t>n</m:t>
                  </m:r>
                </m:e>
                <m:sub>
                  <m:r>
                    <w:rPr>
                      <w:rFonts w:ascii="Cambria Math" w:hAnsi="Cambria Math"/>
                    </w:rPr>
                    <m:t>2t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sSub>
                <m:sSubPr>
                  <m:ctrlPr>
                    <w:rPr>
                      <w:rFonts w:ascii="Cambria Math" w:hAnsi="Cambria Math"/>
                      <w:i/>
                      <w:iCs/>
                    </w:rPr>
                  </m:ctrlPr>
                </m:sSubPr>
                <m:e>
                  <m:sSub>
                    <m:sSubPr>
                      <m:ctrlPr>
                        <w:rPr>
                          <w:rFonts w:ascii="Cambria Math" w:hAnsi="Cambria Math"/>
                          <w:i/>
                          <w:iCs/>
                        </w:rPr>
                      </m:ctrlPr>
                    </m:sSubPr>
                    <m:e>
                      <m:r>
                        <w:rPr>
                          <w:rFonts w:ascii="Cambria Math" w:hAnsi="Cambria Math"/>
                        </w:rPr>
                        <m:t>a</m:t>
                      </m:r>
                    </m:e>
                    <m:sub>
                      <m:r>
                        <w:rPr>
                          <w:rFonts w:ascii="Cambria Math" w:hAnsi="Cambria Math"/>
                        </w:rPr>
                        <m:t>3</m:t>
                      </m:r>
                    </m:sub>
                  </m:sSub>
                  <m:r>
                    <w:rPr>
                      <w:rFonts w:ascii="Cambria Math" w:hAnsi="Cambria Math"/>
                    </w:rPr>
                    <m:t>n</m:t>
                  </m:r>
                </m:e>
                <m:sub>
                  <m:r>
                    <w:rPr>
                      <w:rFonts w:ascii="Cambria Math" w:hAnsi="Cambria Math"/>
                    </w:rPr>
                    <m:t>3t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sSub>
                <m:sSubPr>
                  <m:ctrlPr>
                    <w:rPr>
                      <w:rFonts w:ascii="Cambria Math" w:hAnsi="Cambria Math"/>
                      <w:i/>
                      <w:iCs/>
                    </w:rPr>
                  </m:ctrlPr>
                </m:sSubPr>
                <m:e>
                  <m:r>
                    <w:rPr>
                      <w:rFonts w:ascii="Cambria Math" w:hAnsi="Cambria Math"/>
                    </w:rPr>
                    <m:t> </m:t>
                  </m:r>
                  <m:sSub>
                    <m:sSubPr>
                      <m:ctrlPr>
                        <w:rPr>
                          <w:rFonts w:ascii="Cambria Math" w:hAnsi="Cambria Math"/>
                          <w:i/>
                          <w:iCs/>
                        </w:rPr>
                      </m:ctrlPr>
                    </m:sSubPr>
                    <m:e>
                      <m:r>
                        <w:rPr>
                          <w:rFonts w:ascii="Cambria Math" w:hAnsi="Cambria Math"/>
                        </w:rPr>
                        <m:t>a</m:t>
                      </m:r>
                    </m:e>
                    <m:sub>
                      <m:r>
                        <w:rPr>
                          <w:rFonts w:ascii="Cambria Math" w:hAnsi="Cambria Math"/>
                        </w:rPr>
                        <m:t>4</m:t>
                      </m:r>
                    </m:sub>
                  </m:sSub>
                  <m:r>
                    <w:rPr>
                      <w:rFonts w:ascii="Cambria Math" w:hAnsi="Cambria Math"/>
                    </w:rPr>
                    <m:t>n</m:t>
                  </m:r>
                </m:e>
                <m:sub>
                  <m:r>
                    <w:rPr>
                      <w:rFonts w:ascii="Cambria Math" w:hAnsi="Cambria Math"/>
                    </w:rPr>
                    <m:t>4t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sSub>
                <m:sSubPr>
                  <m:ctrlPr>
                    <w:rPr>
                      <w:rFonts w:ascii="Cambria Math" w:hAnsi="Cambria Math"/>
                      <w:i/>
                      <w:iCs/>
                    </w:rPr>
                  </m:ctrlPr>
                </m:sSubPr>
                <m:e>
                  <m:r>
                    <w:rPr>
                      <w:rFonts w:ascii="Cambria Math" w:hAnsi="Cambria Math"/>
                    </w:rPr>
                    <m:t> </m:t>
                  </m:r>
                  <m:sSub>
                    <m:sSubPr>
                      <m:ctrlPr>
                        <w:rPr>
                          <w:rFonts w:ascii="Cambria Math" w:hAnsi="Cambria Math"/>
                          <w:i/>
                          <w:iCs/>
                        </w:rPr>
                      </m:ctrlPr>
                    </m:sSubPr>
                    <m:e>
                      <m:r>
                        <w:rPr>
                          <w:rFonts w:ascii="Cambria Math" w:hAnsi="Cambria Math"/>
                        </w:rPr>
                        <m:t>a</m:t>
                      </m:r>
                    </m:e>
                    <m:sub>
                      <m:r>
                        <w:rPr>
                          <w:rFonts w:ascii="Cambria Math" w:hAnsi="Cambria Math"/>
                        </w:rPr>
                        <m:t>5</m:t>
                      </m:r>
                    </m:sub>
                  </m:sSub>
                  <m:r>
                    <w:rPr>
                      <w:rFonts w:ascii="Cambria Math" w:hAnsi="Cambria Math"/>
                    </w:rPr>
                    <m:t>n</m:t>
                  </m:r>
                </m:e>
                <m:sub>
                  <m:r>
                    <w:rPr>
                      <w:rFonts w:ascii="Cambria Math" w:hAnsi="Cambria Math"/>
                    </w:rPr>
                    <m:t>5t</m:t>
                  </m:r>
                  <m:sSup>
                    <m:sSupPr>
                      <m:ctrlPr>
                        <w:rPr>
                          <w:rFonts w:ascii="Cambria Math" w:hAnsi="Cambria Math"/>
                          <w:i/>
                          <w:iCs/>
                        </w:rPr>
                      </m:ctrlPr>
                    </m:sSupPr>
                    <m:e>
                      <m:r>
                        <w:rPr>
                          <w:rFonts w:ascii="Cambria Math" w:hAnsi="Cambria Math"/>
                        </w:rPr>
                        <m:t>r</m:t>
                      </m:r>
                    </m:e>
                    <m:sup>
                      <m:r>
                        <w:rPr>
                          <w:rFonts w:ascii="Cambria Math" w:hAnsi="Cambria Math"/>
                        </w:rPr>
                        <m:t>'</m:t>
                      </m:r>
                    </m:sup>
                  </m:sSup>
                </m:sub>
              </m:sSub>
              <m:r>
                <w:rPr>
                  <w:rFonts w:ascii="Cambria Math" w:hAnsi="Cambria Math"/>
                </w:rPr>
                <m:t>)</m:t>
              </m:r>
              <m:sSup>
                <m:sSupPr>
                  <m:ctrlPr>
                    <w:rPr>
                      <w:rFonts w:ascii="Cambria Math" w:hAnsi="Cambria Math"/>
                      <w:i/>
                      <w:iCs/>
                    </w:rPr>
                  </m:ctrlPr>
                </m:sSupPr>
                <m:e>
                  <m:r>
                    <w:rPr>
                      <w:rFonts w:ascii="Cambria Math" w:hAnsi="Cambria Math"/>
                    </w:rPr>
                    <m:t>e</m:t>
                  </m:r>
                </m:e>
                <m:sup>
                  <m:r>
                    <w:rPr>
                      <w:rFonts w:ascii="Cambria Math" w:hAnsi="Cambria Math"/>
                    </w:rPr>
                    <m:t>b*</m:t>
                  </m:r>
                  <m:sSub>
                    <m:sSubPr>
                      <m:ctrlPr>
                        <w:rPr>
                          <w:rFonts w:ascii="Cambria Math" w:hAnsi="Cambria Math"/>
                          <w:i/>
                          <w:iCs/>
                        </w:rPr>
                      </m:ctrlPr>
                    </m:sSubPr>
                    <m:e>
                      <m:r>
                        <w:rPr>
                          <w:rFonts w:ascii="Cambria Math" w:hAnsi="Cambria Math"/>
                        </w:rPr>
                        <m:t>gc</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sup>
              </m:sSup>
            </m:e>
          </m:nary>
        </m:oMath>
      </m:oMathPara>
    </w:p>
    <w:p w14:paraId="13A19D4F" w14:textId="77777777" w:rsidR="000301E2" w:rsidRPr="004B2F7F" w:rsidRDefault="0040610B" w:rsidP="000301E2">
      <w:pPr>
        <w:pStyle w:val="BodyText"/>
      </w:pPr>
      <m:oMath>
        <m:sSub>
          <m:sSubPr>
            <m:ctrlPr>
              <w:rPr>
                <w:rFonts w:ascii="Cambria Math" w:hAnsi="Cambria Math"/>
                <w:i/>
                <w:iCs/>
              </w:rPr>
            </m:ctrlPr>
          </m:sSubPr>
          <m:e>
            <m:r>
              <w:rPr>
                <w:rFonts w:ascii="Cambria Math" w:hAnsi="Cambria Math"/>
              </w:rPr>
              <m:t>A</m:t>
            </m:r>
          </m:e>
          <m:sub>
            <m:r>
              <w:rPr>
                <w:rFonts w:ascii="Cambria Math" w:hAnsi="Cambria Math"/>
              </w:rPr>
              <m:t>rt</m:t>
            </m:r>
          </m:sub>
        </m:sSub>
      </m:oMath>
      <w:r w:rsidR="000301E2" w:rsidRPr="004B2F7F">
        <w:t xml:space="preserve"> = Alueen r tehokas tiheys ajan hetkellä t</w:t>
      </w:r>
    </w:p>
    <w:p w14:paraId="3A1C8A69" w14:textId="77777777" w:rsidR="000301E2" w:rsidRPr="004B2F7F" w:rsidRDefault="0040610B" w:rsidP="000301E2">
      <w:pPr>
        <w:pStyle w:val="BodyText"/>
      </w:pPr>
      <m:oMath>
        <m:sSub>
          <m:sSubPr>
            <m:ctrlPr>
              <w:rPr>
                <w:rFonts w:ascii="Cambria Math" w:hAnsi="Cambria Math"/>
                <w:i/>
                <w:iCs/>
              </w:rPr>
            </m:ctrlPr>
          </m:sSubPr>
          <m:e>
            <m:r>
              <w:rPr>
                <w:rFonts w:ascii="Cambria Math" w:hAnsi="Cambria Math"/>
              </w:rPr>
              <m:t>gc</m:t>
            </m:r>
          </m:e>
          <m:sub>
            <m:r>
              <w:rPr>
                <w:rFonts w:ascii="Cambria Math" w:hAnsi="Cambria Math"/>
              </w:rPr>
              <m:t>tr</m:t>
            </m:r>
            <m:sSup>
              <m:sSupPr>
                <m:ctrlPr>
                  <w:rPr>
                    <w:rFonts w:ascii="Cambria Math" w:hAnsi="Cambria Math"/>
                    <w:i/>
                    <w:iCs/>
                  </w:rPr>
                </m:ctrlPr>
              </m:sSupPr>
              <m:e>
                <m:r>
                  <w:rPr>
                    <w:rFonts w:ascii="Cambria Math" w:hAnsi="Cambria Math"/>
                  </w:rPr>
                  <m:t>r</m:t>
                </m:r>
              </m:e>
              <m:sup>
                <m:r>
                  <w:rPr>
                    <w:rFonts w:ascii="Cambria Math" w:hAnsi="Cambria Math"/>
                  </w:rPr>
                  <m:t>'</m:t>
                </m:r>
              </m:sup>
            </m:sSup>
          </m:sub>
        </m:sSub>
      </m:oMath>
      <w:r w:rsidR="000301E2" w:rsidRPr="004B2F7F">
        <w:t xml:space="preserve"> = yleistetty matkavastus alueiden </w:t>
      </w:r>
      <m:oMath>
        <m:r>
          <w:rPr>
            <w:rFonts w:ascii="Cambria Math" w:hAnsi="Cambria Math"/>
          </w:rPr>
          <m:t>r ja </m:t>
        </m:r>
        <m:sSup>
          <m:sSupPr>
            <m:ctrlPr>
              <w:rPr>
                <w:rFonts w:ascii="Cambria Math" w:hAnsi="Cambria Math"/>
                <w:i/>
                <w:iCs/>
              </w:rPr>
            </m:ctrlPr>
          </m:sSupPr>
          <m:e>
            <m:r>
              <w:rPr>
                <w:rFonts w:ascii="Cambria Math" w:hAnsi="Cambria Math"/>
              </w:rPr>
              <m:t>r</m:t>
            </m:r>
          </m:e>
          <m:sup>
            <m:r>
              <w:rPr>
                <w:rFonts w:ascii="Cambria Math" w:hAnsi="Cambria Math"/>
              </w:rPr>
              <m:t>'</m:t>
            </m:r>
          </m:sup>
        </m:sSup>
      </m:oMath>
      <w:r w:rsidR="000301E2" w:rsidRPr="004B2F7F">
        <w:t xml:space="preserve"> välillä ajan hetkellä t</w:t>
      </w:r>
    </w:p>
    <w:p w14:paraId="1236B4B9" w14:textId="2E561B72" w:rsidR="00544B29" w:rsidRPr="004B2F7F" w:rsidRDefault="0040610B" w:rsidP="00544B29">
      <w:pPr>
        <w:pStyle w:val="BodyText"/>
      </w:pPr>
      <m:oMath>
        <m:sSub>
          <m:sSubPr>
            <m:ctrlPr>
              <w:rPr>
                <w:rFonts w:ascii="Cambria Math" w:hAnsi="Cambria Math"/>
                <w:i/>
                <w:iCs/>
              </w:rPr>
            </m:ctrlPr>
          </m:sSubPr>
          <m:e>
            <m:r>
              <w:rPr>
                <w:rFonts w:ascii="Cambria Math" w:hAnsi="Cambria Math"/>
              </w:rPr>
              <m:t>n</m:t>
            </m:r>
          </m:e>
          <m:sub>
            <m:r>
              <w:rPr>
                <w:rFonts w:ascii="Cambria Math" w:hAnsi="Cambria Math"/>
              </w:rPr>
              <m:t>mt</m:t>
            </m:r>
            <m:sSup>
              <m:sSupPr>
                <m:ctrlPr>
                  <w:rPr>
                    <w:rFonts w:ascii="Cambria Math" w:hAnsi="Cambria Math"/>
                    <w:i/>
                    <w:iCs/>
                  </w:rPr>
                </m:ctrlPr>
              </m:sSupPr>
              <m:e>
                <m:r>
                  <w:rPr>
                    <w:rFonts w:ascii="Cambria Math" w:hAnsi="Cambria Math"/>
                  </w:rPr>
                  <m:t>r</m:t>
                </m:r>
              </m:e>
              <m:sup>
                <m:r>
                  <w:rPr>
                    <w:rFonts w:ascii="Cambria Math" w:hAnsi="Cambria Math"/>
                  </w:rPr>
                  <m:t>'</m:t>
                </m:r>
              </m:sup>
            </m:sSup>
          </m:sub>
        </m:sSub>
      </m:oMath>
      <w:r w:rsidR="000301E2" w:rsidRPr="004B2F7F">
        <w:t xml:space="preserve"> = alueen </w:t>
      </w:r>
      <m:oMath>
        <m:sSup>
          <m:sSupPr>
            <m:ctrlPr>
              <w:rPr>
                <w:rFonts w:ascii="Cambria Math" w:hAnsi="Cambria Math"/>
                <w:i/>
                <w:iCs/>
              </w:rPr>
            </m:ctrlPr>
          </m:sSupPr>
          <m:e>
            <m:r>
              <w:rPr>
                <w:rFonts w:ascii="Cambria Math" w:hAnsi="Cambria Math"/>
              </w:rPr>
              <m:t>r</m:t>
            </m:r>
          </m:e>
          <m:sup>
            <m:r>
              <w:rPr>
                <w:rFonts w:ascii="Cambria Math" w:hAnsi="Cambria Math"/>
              </w:rPr>
              <m:t>'</m:t>
            </m:r>
          </m:sup>
        </m:sSup>
      </m:oMath>
      <w:r w:rsidR="000301E2" w:rsidRPr="004B2F7F">
        <w:t xml:space="preserve"> työpaikkamäärä toimialalla m ajan hetkellä t</w:t>
      </w:r>
    </w:p>
    <w:p w14:paraId="76232566" w14:textId="77777777" w:rsidR="00B61404" w:rsidRDefault="00544B29" w:rsidP="00D577E9">
      <w:pPr>
        <w:pStyle w:val="BodyText"/>
      </w:pPr>
      <w:r w:rsidRPr="004B2F7F">
        <w:rPr>
          <w:noProof/>
          <w:lang w:eastAsia="fi-FI"/>
        </w:rPr>
        <w:lastRenderedPageBreak/>
        <w:drawing>
          <wp:inline distT="0" distB="0" distL="0" distR="0" wp14:anchorId="11CEC28E" wp14:editId="64D72FEA">
            <wp:extent cx="5270500" cy="1857544"/>
            <wp:effectExtent l="0" t="0" r="6350" b="9525"/>
            <wp:docPr id="36" name="Kuv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95440" cy="1866334"/>
                    </a:xfrm>
                    <a:prstGeom prst="rect">
                      <a:avLst/>
                    </a:prstGeom>
                    <a:noFill/>
                    <a:ln>
                      <a:noFill/>
                    </a:ln>
                  </pic:spPr>
                </pic:pic>
              </a:graphicData>
            </a:graphic>
          </wp:inline>
        </w:drawing>
      </w:r>
    </w:p>
    <w:p w14:paraId="08864F9A" w14:textId="77777777" w:rsidR="00502341" w:rsidRDefault="00502341" w:rsidP="00D577E9">
      <w:pPr>
        <w:pStyle w:val="BodyText"/>
      </w:pPr>
    </w:p>
    <w:p w14:paraId="4305BDCC" w14:textId="36E71954" w:rsidR="00502341" w:rsidRPr="00A552AC" w:rsidRDefault="00502341" w:rsidP="00D577E9">
      <w:pPr>
        <w:pStyle w:val="BodyText"/>
        <w:sectPr w:rsidR="00502341" w:rsidRPr="00A552AC" w:rsidSect="00F5796A">
          <w:headerReference w:type="default" r:id="rId35"/>
          <w:footerReference w:type="default" r:id="rId36"/>
          <w:pgSz w:w="11906" w:h="16838" w:code="9"/>
          <w:pgMar w:top="1531" w:right="1134" w:bottom="851" w:left="1134" w:header="567" w:footer="397" w:gutter="0"/>
          <w:pgNumType w:start="0"/>
          <w:cols w:space="708"/>
          <w:titlePg/>
          <w:docGrid w:linePitch="360"/>
        </w:sectPr>
      </w:pPr>
      <w:r w:rsidRPr="00A552AC">
        <w:t>Jatkossa Börjesson et. al. (2019) tarkastelutapaa noudatettaessa voisi tarkastella vaimennusparametrien estimointia eristämällä liikkumistutkimusaineistosta ensisijaisesti työpaikan ja työasiapaikan väliset matkaosuudet riippumatta siitä, miten ja missä järjestyksessä matkantekijä on päivän aikana eri matkakohteissa vieraillut. Tällainen lähestymistapa korostaisi yritysten välisen etäisyyden merkitystä matkantekijän prioriteettien sijaan.</w:t>
      </w:r>
    </w:p>
    <w:p w14:paraId="4E4F20F0" w14:textId="77777777" w:rsidR="00936C43" w:rsidRPr="00D577E9" w:rsidRDefault="00936C43" w:rsidP="00936C43"/>
    <w:sectPr w:rsidR="00936C43" w:rsidRPr="00D577E9" w:rsidSect="00936C43">
      <w:headerReference w:type="default" r:id="rId37"/>
      <w:footerReference w:type="default" r:id="rId38"/>
      <w:headerReference w:type="first" r:id="rId39"/>
      <w:pgSz w:w="11906" w:h="16838" w:code="9"/>
      <w:pgMar w:top="1531" w:right="1134" w:bottom="851" w:left="1134" w:header="567" w:footer="397"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8BC26C" w14:textId="77777777" w:rsidR="00053F10" w:rsidRDefault="00053F10" w:rsidP="00261760">
      <w:r>
        <w:separator/>
      </w:r>
    </w:p>
  </w:endnote>
  <w:endnote w:type="continuationSeparator" w:id="0">
    <w:p w14:paraId="5C099483" w14:textId="77777777" w:rsidR="00053F10" w:rsidRDefault="00053F10" w:rsidP="002617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Exo 2">
    <w:altName w:val="Calibri"/>
    <w:charset w:val="00"/>
    <w:family w:val="auto"/>
    <w:pitch w:val="variable"/>
    <w:sig w:usb0="00000207" w:usb1="00000000" w:usb2="00000000" w:usb3="00000000" w:csb0="00000097" w:csb1="00000000"/>
  </w:font>
  <w:font w:name="Myriad Pro">
    <w:altName w:val="Arial"/>
    <w:panose1 w:val="00000000000000000000"/>
    <w:charset w:val="00"/>
    <w:family w:val="swiss"/>
    <w:notTrueType/>
    <w:pitch w:val="variable"/>
    <w:sig w:usb0="20000287" w:usb1="00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Felbridge Pro">
    <w:altName w:val="Corbel"/>
    <w:panose1 w:val="00000000000000000000"/>
    <w:charset w:val="00"/>
    <w:family w:val="modern"/>
    <w:notTrueType/>
    <w:pitch w:val="variable"/>
    <w:sig w:usb0="00000087" w:usb1="00000001"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0CC2E4" w14:textId="26C2C19B" w:rsidR="008F5685" w:rsidRPr="00F5796A" w:rsidRDefault="008F5685" w:rsidP="00F5796A">
    <w:pPr>
      <w:pStyle w:val="Footer"/>
    </w:pPr>
    <w:r>
      <w:fldChar w:fldCharType="begin"/>
    </w:r>
    <w:r>
      <w:instrText xml:space="preserve"> PAGE   \* MERGEFORMAT </w:instrText>
    </w:r>
    <w:r>
      <w:fldChar w:fldCharType="separate"/>
    </w:r>
    <w:r w:rsidR="0040610B">
      <w:t>14</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Eireunaviivaa"/>
      <w:tblW w:w="5235" w:type="pct"/>
      <w:tblCellMar>
        <w:left w:w="0" w:type="dxa"/>
      </w:tblCellMar>
      <w:tblLook w:val="04A0" w:firstRow="1" w:lastRow="0" w:firstColumn="1" w:lastColumn="0" w:noHBand="0" w:noVBand="1"/>
    </w:tblPr>
    <w:tblGrid>
      <w:gridCol w:w="284"/>
      <w:gridCol w:w="5952"/>
      <w:gridCol w:w="3855"/>
    </w:tblGrid>
    <w:tr w:rsidR="008F5685" w14:paraId="317B90D0" w14:textId="77777777" w:rsidTr="007E4C69">
      <w:tc>
        <w:tcPr>
          <w:tcW w:w="141" w:type="pct"/>
        </w:tcPr>
        <w:p w14:paraId="41AA211B" w14:textId="77777777" w:rsidR="008F5685" w:rsidRPr="003F3E2F" w:rsidRDefault="008F5685" w:rsidP="00936C43">
          <w:pPr>
            <w:spacing w:line="252" w:lineRule="auto"/>
            <w:rPr>
              <w:sz w:val="18"/>
              <w:szCs w:val="18"/>
            </w:rPr>
          </w:pPr>
        </w:p>
      </w:tc>
      <w:tc>
        <w:tcPr>
          <w:tcW w:w="2949" w:type="pct"/>
        </w:tcPr>
        <w:p w14:paraId="36C4E14D" w14:textId="77777777" w:rsidR="008F5685" w:rsidRPr="003F3E2F" w:rsidRDefault="008F5685" w:rsidP="00936C43">
          <w:pPr>
            <w:spacing w:line="252" w:lineRule="auto"/>
            <w:rPr>
              <w:b/>
              <w:sz w:val="18"/>
              <w:szCs w:val="18"/>
            </w:rPr>
          </w:pPr>
          <w:r w:rsidRPr="003F3E2F">
            <w:rPr>
              <w:b/>
              <w:sz w:val="18"/>
              <w:szCs w:val="18"/>
            </w:rPr>
            <w:t>Liikenne- ja viestintävirasto Traficom</w:t>
          </w:r>
        </w:p>
        <w:p w14:paraId="3A040E4E" w14:textId="77777777" w:rsidR="008F5685" w:rsidRPr="003F3E2F" w:rsidRDefault="008F5685" w:rsidP="00936C43">
          <w:pPr>
            <w:spacing w:line="252" w:lineRule="auto"/>
            <w:rPr>
              <w:sz w:val="18"/>
              <w:szCs w:val="18"/>
            </w:rPr>
          </w:pPr>
        </w:p>
        <w:p w14:paraId="48A59D2D" w14:textId="77777777" w:rsidR="008F5685" w:rsidRPr="003F3E2F" w:rsidRDefault="008F5685" w:rsidP="00936C43">
          <w:pPr>
            <w:spacing w:line="252" w:lineRule="auto"/>
            <w:rPr>
              <w:sz w:val="18"/>
              <w:szCs w:val="18"/>
            </w:rPr>
          </w:pPr>
          <w:r w:rsidRPr="003F3E2F">
            <w:rPr>
              <w:sz w:val="18"/>
              <w:szCs w:val="18"/>
            </w:rPr>
            <w:t>PL 320, 00059 TRAFICOM</w:t>
          </w:r>
        </w:p>
        <w:p w14:paraId="148BB532" w14:textId="77777777" w:rsidR="008F5685" w:rsidRDefault="008F5685" w:rsidP="00936C43">
          <w:pPr>
            <w:spacing w:line="252" w:lineRule="auto"/>
            <w:rPr>
              <w:sz w:val="18"/>
              <w:szCs w:val="18"/>
            </w:rPr>
          </w:pPr>
          <w:r w:rsidRPr="003F3E2F">
            <w:rPr>
              <w:sz w:val="18"/>
              <w:szCs w:val="18"/>
            </w:rPr>
            <w:t>p. 029 534 5000</w:t>
          </w:r>
        </w:p>
        <w:p w14:paraId="4EB2FD94" w14:textId="77777777" w:rsidR="008F5685" w:rsidRDefault="008F5685" w:rsidP="00936C43">
          <w:pPr>
            <w:spacing w:line="252" w:lineRule="auto"/>
            <w:rPr>
              <w:sz w:val="18"/>
              <w:szCs w:val="18"/>
            </w:rPr>
          </w:pPr>
        </w:p>
        <w:p w14:paraId="43B6FC5E" w14:textId="77777777" w:rsidR="008F5685" w:rsidRPr="003F3E2F" w:rsidRDefault="008F5685" w:rsidP="00936C43">
          <w:pPr>
            <w:spacing w:line="252" w:lineRule="auto"/>
            <w:rPr>
              <w:sz w:val="18"/>
              <w:szCs w:val="18"/>
            </w:rPr>
          </w:pPr>
          <w:r>
            <w:rPr>
              <w:sz w:val="18"/>
              <w:szCs w:val="18"/>
            </w:rPr>
            <w:t>traficom</w:t>
          </w:r>
          <w:r w:rsidRPr="006126CF">
            <w:rPr>
              <w:sz w:val="18"/>
              <w:szCs w:val="18"/>
            </w:rPr>
            <w:t>.fi</w:t>
          </w:r>
        </w:p>
        <w:p w14:paraId="5DFC87AD" w14:textId="77777777" w:rsidR="008F5685" w:rsidRPr="003F3E2F" w:rsidRDefault="008F5685" w:rsidP="00936C43">
          <w:pPr>
            <w:spacing w:line="252" w:lineRule="auto"/>
            <w:rPr>
              <w:sz w:val="18"/>
              <w:szCs w:val="18"/>
            </w:rPr>
          </w:pPr>
        </w:p>
        <w:p w14:paraId="3BEDD668" w14:textId="77777777" w:rsidR="008F5685" w:rsidRPr="003F3E2F" w:rsidRDefault="008F5685" w:rsidP="00936C43">
          <w:pPr>
            <w:spacing w:line="252" w:lineRule="auto"/>
            <w:rPr>
              <w:sz w:val="18"/>
              <w:szCs w:val="18"/>
            </w:rPr>
          </w:pPr>
          <w:r w:rsidRPr="003F3E2F">
            <w:rPr>
              <w:sz w:val="18"/>
              <w:szCs w:val="18"/>
            </w:rPr>
            <w:t>ISBN 000–000–000–000–0</w:t>
          </w:r>
        </w:p>
        <w:p w14:paraId="2E473677" w14:textId="77777777" w:rsidR="008F5685" w:rsidRDefault="008F5685" w:rsidP="00936C43">
          <w:pPr>
            <w:spacing w:line="252" w:lineRule="auto"/>
          </w:pPr>
          <w:r w:rsidRPr="003F3E2F">
            <w:rPr>
              <w:sz w:val="18"/>
              <w:szCs w:val="18"/>
            </w:rPr>
            <w:t>ISSN 0000–0000 (verkkojulkaisu)</w:t>
          </w:r>
        </w:p>
      </w:tc>
      <w:tc>
        <w:tcPr>
          <w:tcW w:w="1910" w:type="pct"/>
          <w:vAlign w:val="bottom"/>
        </w:tcPr>
        <w:p w14:paraId="7D012F2B" w14:textId="77777777" w:rsidR="008F5685" w:rsidRDefault="008F5685" w:rsidP="00936C43">
          <w:pPr>
            <w:pStyle w:val="Footer"/>
            <w:jc w:val="left"/>
          </w:pPr>
          <w:r w:rsidRPr="001F455A">
            <w:rPr>
              <w:lang w:eastAsia="fi-FI"/>
            </w:rPr>
            <w:drawing>
              <wp:inline distT="0" distB="0" distL="0" distR="0" wp14:anchorId="15122784" wp14:editId="7482A9DF">
                <wp:extent cx="2160000" cy="482355"/>
                <wp:effectExtent l="0" t="0" r="0" b="0"/>
                <wp:docPr id="4" name="Kuva 4" descr="Trafico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RAFICOM_su_rgb.png"/>
                        <pic:cNvPicPr/>
                      </pic:nvPicPr>
                      <pic:blipFill>
                        <a:blip r:embed="rId1">
                          <a:extLst>
                            <a:ext uri="{28A0092B-C50C-407E-A947-70E740481C1C}">
                              <a14:useLocalDpi xmlns:a14="http://schemas.microsoft.com/office/drawing/2010/main" val="0"/>
                            </a:ext>
                          </a:extLst>
                        </a:blip>
                        <a:stretch>
                          <a:fillRect/>
                        </a:stretch>
                      </pic:blipFill>
                      <pic:spPr>
                        <a:xfrm>
                          <a:off x="0" y="0"/>
                          <a:ext cx="2160000" cy="482355"/>
                        </a:xfrm>
                        <a:prstGeom prst="rect">
                          <a:avLst/>
                        </a:prstGeom>
                      </pic:spPr>
                    </pic:pic>
                  </a:graphicData>
                </a:graphic>
              </wp:inline>
            </w:drawing>
          </w:r>
        </w:p>
      </w:tc>
    </w:tr>
  </w:tbl>
  <w:p w14:paraId="6C6F4FB4" w14:textId="77777777" w:rsidR="008F5685" w:rsidRPr="00F5796A" w:rsidRDefault="008F5685" w:rsidP="00F5796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6F689C4" w14:textId="77777777" w:rsidR="00053F10" w:rsidRDefault="00053F10" w:rsidP="00261760">
      <w:r>
        <w:separator/>
      </w:r>
    </w:p>
  </w:footnote>
  <w:footnote w:type="continuationSeparator" w:id="0">
    <w:p w14:paraId="6ABAD568" w14:textId="77777777" w:rsidR="00053F10" w:rsidRDefault="00053F10" w:rsidP="00261760">
      <w:r>
        <w:continuationSeparator/>
      </w:r>
    </w:p>
  </w:footnote>
  <w:footnote w:id="1">
    <w:p w14:paraId="2D1B2B6C" w14:textId="77777777" w:rsidR="008F5685" w:rsidRPr="008924C1" w:rsidRDefault="008F5685" w:rsidP="00C342FF">
      <w:pPr>
        <w:pStyle w:val="FootnoteText"/>
        <w:rPr>
          <w:rFonts w:ascii="Times New Roman" w:hAnsi="Times New Roman" w:cs="Times New Roman"/>
        </w:rPr>
      </w:pPr>
      <w:r w:rsidRPr="008924C1">
        <w:rPr>
          <w:rStyle w:val="FootnoteReference"/>
          <w:rFonts w:ascii="Times New Roman" w:hAnsi="Times New Roman" w:cs="Times New Roman"/>
        </w:rPr>
        <w:footnoteRef/>
      </w:r>
      <w:r w:rsidRPr="008924C1">
        <w:rPr>
          <w:rFonts w:ascii="Times New Roman" w:hAnsi="Times New Roman" w:cs="Times New Roman"/>
        </w:rPr>
        <w:t xml:space="preserve"> Harris (1954) oli ensimmäisen, joka esitteli markkinapotentiaalimitan, joka ottaa huomioon erillisten työmarkkinoiden väliset interaktiot.</w:t>
      </w:r>
    </w:p>
  </w:footnote>
  <w:footnote w:id="2">
    <w:p w14:paraId="065D99FE" w14:textId="77777777" w:rsidR="008F5685" w:rsidRPr="008924C1" w:rsidRDefault="008F5685" w:rsidP="00C342FF">
      <w:pPr>
        <w:pStyle w:val="FootnoteText"/>
        <w:rPr>
          <w:rFonts w:ascii="Times New Roman" w:hAnsi="Times New Roman" w:cs="Times New Roman"/>
        </w:rPr>
      </w:pPr>
      <w:r w:rsidRPr="008924C1">
        <w:rPr>
          <w:rStyle w:val="FootnoteReference"/>
          <w:rFonts w:ascii="Times New Roman" w:hAnsi="Times New Roman" w:cs="Times New Roman"/>
        </w:rPr>
        <w:footnoteRef/>
      </w:r>
      <w:r w:rsidRPr="008924C1">
        <w:rPr>
          <w:rFonts w:ascii="Times New Roman" w:hAnsi="Times New Roman" w:cs="Times New Roman"/>
        </w:rPr>
        <w:t xml:space="preserve"> Näitä on esitelty laajemmin suomeksi esim. Haapamäki ym. (2020) </w:t>
      </w:r>
    </w:p>
  </w:footnote>
  <w:footnote w:id="3">
    <w:p w14:paraId="4FE94AE3" w14:textId="77777777" w:rsidR="008F5685" w:rsidRPr="008924C1" w:rsidRDefault="008F5685" w:rsidP="00C342FF">
      <w:pPr>
        <w:pStyle w:val="FootnoteText"/>
        <w:rPr>
          <w:rFonts w:ascii="Times New Roman" w:hAnsi="Times New Roman" w:cs="Times New Roman"/>
        </w:rPr>
      </w:pPr>
      <w:r w:rsidRPr="008924C1">
        <w:rPr>
          <w:rStyle w:val="FootnoteReference"/>
          <w:rFonts w:ascii="Times New Roman" w:hAnsi="Times New Roman" w:cs="Times New Roman"/>
        </w:rPr>
        <w:footnoteRef/>
      </w:r>
      <w:r w:rsidRPr="008924C1">
        <w:rPr>
          <w:rFonts w:ascii="Times New Roman" w:hAnsi="Times New Roman" w:cs="Times New Roman"/>
        </w:rPr>
        <w:t xml:space="preserve"> Gaubert (2018) käyttää työssäkäyntialueita, joka kuvaa paremmin paikallisia työmarkkinoita kuin tilastot johon alueet pohjautuvat. Hän ei kuitenkaan käytä tehokkaan tiheyden mittaria.</w:t>
      </w:r>
    </w:p>
  </w:footnote>
  <w:footnote w:id="4">
    <w:p w14:paraId="43EAC759" w14:textId="77777777" w:rsidR="008F5685" w:rsidRPr="003A50F8" w:rsidRDefault="008F5685" w:rsidP="00C342FF">
      <w:pPr>
        <w:pStyle w:val="FootnoteText"/>
      </w:pPr>
      <w:r w:rsidRPr="008924C1">
        <w:rPr>
          <w:rStyle w:val="FootnoteReference"/>
          <w:rFonts w:ascii="Times New Roman" w:hAnsi="Times New Roman" w:cs="Times New Roman"/>
        </w:rPr>
        <w:footnoteRef/>
      </w:r>
      <w:r w:rsidRPr="008924C1">
        <w:rPr>
          <w:rFonts w:ascii="Times New Roman" w:hAnsi="Times New Roman" w:cs="Times New Roman"/>
        </w:rPr>
        <w:t xml:space="preserve"> Regions in the European: Nomenclature of territorial units for statistics NUTS 2010/EU-27. Haettu 11.1.2021 </w:t>
      </w:r>
      <w:hyperlink r:id="rId1" w:history="1">
        <w:r w:rsidRPr="008924C1">
          <w:rPr>
            <w:rStyle w:val="Hyperlink"/>
            <w:rFonts w:ascii="Times New Roman" w:hAnsi="Times New Roman" w:cs="Times New Roman"/>
          </w:rPr>
          <w:t>https://ec.europa.eu/eurostat/documents/3859598/5916917/KS-RA-11-011-EN.PDF</w:t>
        </w:r>
      </w:hyperlink>
      <w:r w:rsidRPr="003A50F8">
        <w:t xml:space="preserve"> </w:t>
      </w:r>
    </w:p>
  </w:footnote>
  <w:footnote w:id="5">
    <w:p w14:paraId="20EE75DA" w14:textId="5AC251B4" w:rsidR="008F5685" w:rsidRDefault="008F5685" w:rsidP="00C342FF">
      <w:pPr>
        <w:pStyle w:val="FootnoteText"/>
      </w:pPr>
      <w:r>
        <w:rPr>
          <w:rStyle w:val="FootnoteReference"/>
        </w:rPr>
        <w:footnoteRef/>
      </w:r>
      <w:r>
        <w:t xml:space="preserve"> </w:t>
      </w:r>
      <w:r w:rsidRPr="00BD3F6C">
        <w:t>Huomioitavaa, että hän käyttää työssäkäyntialueita eli ottaa huomioon, m</w:t>
      </w:r>
      <w:r>
        <w:t>inkä alueen sisällä ihmiset liikkuvat</w:t>
      </w:r>
      <w:r w:rsidRPr="00BD3F6C">
        <w:t>.</w:t>
      </w:r>
    </w:p>
  </w:footnote>
  <w:footnote w:id="6">
    <w:p w14:paraId="772C01D6" w14:textId="77777777" w:rsidR="008F5685" w:rsidRPr="00CD5ADD" w:rsidRDefault="008F5685" w:rsidP="00C342FF">
      <w:r>
        <w:rPr>
          <w:rStyle w:val="FootnoteReference"/>
        </w:rPr>
        <w:footnoteRef/>
      </w:r>
      <w:r w:rsidRPr="00CD5ADD">
        <w:t xml:space="preserve"> </w:t>
      </w:r>
      <w:r w:rsidRPr="00641CA3">
        <w:rPr>
          <w:rFonts w:ascii="Times New Roman" w:hAnsi="Times New Roman" w:cs="Times New Roman"/>
          <w:szCs w:val="20"/>
        </w:rPr>
        <w:t>Heidän analyysinsä perustui tuotantofunktiomalliin (production function model), jossa he ottivat</w:t>
      </w:r>
      <w:r>
        <w:rPr>
          <w:rFonts w:ascii="Times New Roman" w:hAnsi="Times New Roman" w:cs="Times New Roman"/>
          <w:szCs w:val="20"/>
        </w:rPr>
        <w:t xml:space="preserve"> </w:t>
      </w:r>
      <w:r w:rsidRPr="00641CA3">
        <w:rPr>
          <w:rFonts w:ascii="Times New Roman" w:hAnsi="Times New Roman" w:cs="Times New Roman"/>
          <w:szCs w:val="20"/>
        </w:rPr>
        <w:t>endogeenisuuden ja havaitsemattomat erot toimipaikkojen välillä huomioon käyttämällä</w:t>
      </w:r>
      <w:r>
        <w:rPr>
          <w:rFonts w:ascii="Times New Roman" w:hAnsi="Times New Roman" w:cs="Times New Roman"/>
          <w:szCs w:val="20"/>
        </w:rPr>
        <w:t xml:space="preserve"> </w:t>
      </w:r>
      <w:r w:rsidRPr="00641CA3">
        <w:rPr>
          <w:rFonts w:ascii="Times New Roman" w:hAnsi="Times New Roman" w:cs="Times New Roman"/>
          <w:szCs w:val="20"/>
        </w:rPr>
        <w:t>kontrollifunktiolähestymistapaa (control function approach).</w:t>
      </w:r>
    </w:p>
    <w:p w14:paraId="6E4F602E" w14:textId="77777777" w:rsidR="008F5685" w:rsidRPr="00CD5ADD" w:rsidRDefault="008F5685" w:rsidP="00C342FF">
      <w:pPr>
        <w:pStyle w:val="FootnoteText"/>
      </w:pPr>
    </w:p>
  </w:footnote>
  <w:footnote w:id="7">
    <w:p w14:paraId="6D8DB5BB" w14:textId="491BBCEE" w:rsidR="008F5685" w:rsidRDefault="008F5685">
      <w:pPr>
        <w:pStyle w:val="FootnoteText"/>
      </w:pPr>
      <w:r>
        <w:rPr>
          <w:rStyle w:val="FootnoteReference"/>
        </w:rPr>
        <w:footnoteRef/>
      </w:r>
      <w:r>
        <w:t xml:space="preserve"> Kertoimet on estimoitu valtakunnallisesta yritystason aineistosta.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9B33BE" w14:textId="41681F1C" w:rsidR="008F5685" w:rsidRDefault="008F5685">
    <w:pPr>
      <w:pStyle w:val="Header"/>
    </w:pPr>
    <w:r w:rsidRPr="00B51CD3">
      <w:t xml:space="preserve">Traficomin tutkimuksia ja selvityksiä </w:t>
    </w:r>
    <w:sdt>
      <w:sdtPr>
        <w:alias w:val="Avainsanat"/>
        <w:tag w:val=""/>
        <w:id w:val="1939400869"/>
        <w:placeholder>
          <w:docPart w:val="97F5795809A543D599904A59D3415A6A"/>
        </w:placeholder>
        <w:dataBinding w:prefixMappings="xmlns:ns0='http://purl.org/dc/elements/1.1/' xmlns:ns1='http://schemas.openxmlformats.org/package/2006/metadata/core-properties' " w:xpath="/ns1:coreProperties[1]/ns1:keywords[1]" w:storeItemID="{6C3C8BC8-F283-45AE-878A-BAB7291924A1}"/>
        <w:text/>
      </w:sdtPr>
      <w:sdtEndPr/>
      <w:sdtContent>
        <w:r>
          <w:t>8/2021</w:t>
        </w:r>
      </w:sdtContent>
    </w:sdt>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E2829" w14:textId="77777777" w:rsidR="008F5685" w:rsidRDefault="008F5685">
    <w:pPr>
      <w:pStyle w:val="Header"/>
    </w:pPr>
    <w:r>
      <w:rPr>
        <w:lang w:eastAsia="fi-FI"/>
      </w:rPr>
      <mc:AlternateContent>
        <mc:Choice Requires="wps">
          <w:drawing>
            <wp:anchor distT="0" distB="0" distL="114300" distR="114300" simplePos="0" relativeHeight="251659264" behindDoc="0" locked="0" layoutInCell="1" allowOverlap="1" wp14:anchorId="3E646CE0" wp14:editId="2DB1B24E">
              <wp:simplePos x="0" y="0"/>
              <wp:positionH relativeFrom="page">
                <wp:posOffset>215900</wp:posOffset>
              </wp:positionH>
              <wp:positionV relativeFrom="page">
                <wp:posOffset>215900</wp:posOffset>
              </wp:positionV>
              <wp:extent cx="7113600" cy="5605200"/>
              <wp:effectExtent l="0" t="0" r="0" b="0"/>
              <wp:wrapNone/>
              <wp:docPr id="14"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13600" cy="5605200"/>
                      </a:xfrm>
                      <a:custGeom>
                        <a:avLst/>
                        <a:gdLst>
                          <a:gd name="T0" fmla="*/ 19502 w 19502"/>
                          <a:gd name="T1" fmla="*/ 7219 h 15362"/>
                          <a:gd name="T2" fmla="*/ 19502 w 19502"/>
                          <a:gd name="T3" fmla="*/ 0 h 15362"/>
                          <a:gd name="T4" fmla="*/ 0 w 19502"/>
                          <a:gd name="T5" fmla="*/ 0 h 15362"/>
                          <a:gd name="T6" fmla="*/ 0 w 19502"/>
                          <a:gd name="T7" fmla="*/ 15362 h 15362"/>
                          <a:gd name="T8" fmla="*/ 19502 w 19502"/>
                          <a:gd name="T9" fmla="*/ 7219 h 15362"/>
                        </a:gdLst>
                        <a:ahLst/>
                        <a:cxnLst>
                          <a:cxn ang="0">
                            <a:pos x="T0" y="T1"/>
                          </a:cxn>
                          <a:cxn ang="0">
                            <a:pos x="T2" y="T3"/>
                          </a:cxn>
                          <a:cxn ang="0">
                            <a:pos x="T4" y="T5"/>
                          </a:cxn>
                          <a:cxn ang="0">
                            <a:pos x="T6" y="T7"/>
                          </a:cxn>
                          <a:cxn ang="0">
                            <a:pos x="T8" y="T9"/>
                          </a:cxn>
                        </a:cxnLst>
                        <a:rect l="0" t="0" r="r" b="b"/>
                        <a:pathLst>
                          <a:path w="19502" h="15362">
                            <a:moveTo>
                              <a:pt x="19502" y="7219"/>
                            </a:moveTo>
                            <a:lnTo>
                              <a:pt x="19502" y="0"/>
                            </a:lnTo>
                            <a:lnTo>
                              <a:pt x="0" y="0"/>
                            </a:lnTo>
                            <a:lnTo>
                              <a:pt x="0" y="15362"/>
                            </a:lnTo>
                            <a:lnTo>
                              <a:pt x="19502" y="7219"/>
                            </a:lnTo>
                            <a:close/>
                          </a:path>
                        </a:pathLst>
                      </a:custGeom>
                      <a:solidFill>
                        <a:srgbClr val="00AEB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7A4F50E" id="Freeform 8" o:spid="_x0000_s1026" style="position:absolute;margin-left:17pt;margin-top:17pt;width:560.15pt;height:441.3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9502,15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8rE7QIAAIkHAAAOAAAAZHJzL2Uyb0RvYy54bWysVW1v0zAQ/o7Ef7D8EYnlpU27VmunMRhC&#10;GjBp5Qe4jtNEJLax3abj13PnvCwt61QhviS27/H57nl856vrfVWSnTC2UHJBo4uQEiG5Sgu5WdAf&#10;q7v3l5RYx2TKSiXFgj4JS6+Xb99c1XouYpWrMhWGgBNp57Ve0Nw5PQ8Cy3NRMXuhtJBgzJSpmIOp&#10;2QSpYTV4r8ogDsNJUCuTaqO4sBZWPzZGuvT+s0xw9z3LrHCkXFCIzfmv8d81foPlFZtvDNN5wdsw&#10;2D9EUbFCwqG9q4/MMbI1xV+uqoIbZVXmLriqApVlBRc+B8gmCo+yecyZFj4XIMfqnib7/9zyb7sH&#10;Q4oUtBtTIlkFGt0ZIZBxcon01NrOAfWoHwwmaPW94j8tGIIDC04sYMi6/qpS8MK2TnlK9pmpcCck&#10;S/ae+aeeebF3hMPiNIpGkxAE4mBLJmEC2uLhAZt32/nWus9CeVdsd29dI10KI0982ka/Ai9ZVYKK&#10;7wISzZIwJnXzb8XugdEAOI2jGclJlIwm8TEuHuBedTgaAMNT3oDmPrzwVGjJAehEXJMD0IkkpwOQ&#10;z+5UXFCofVyvZjkbAI9pA702nSIs70Tie9mqBCPCsDWE/mpoZfFKoGSg+ypqJQcUSnoCDHIgeHQW&#10;GNhGcHIWGAhF8PQsMPCF4NkQDOk/52qg+Ry3HUMJtJ017mFzzRxS1A1JDUWI95WSHEb+JqKtUjux&#10;Uh7lkK0WA4cj++3xz6BSvgzu6qmzd3/tnTYKnIPpSwSS7Xx0/8bXiwF2EF4qK5rKxvx9ifdEIH+D&#10;MreqLNK7oiwxeWs269vSkB3DVh7efPrgCxW2HMBKf3Wkwm3NMbjiexW2p6afrVX6BK3KqOY9gPcL&#10;Brkyvymp4S1YUPtry4ygpPwiodnOovEYCHJ+Mk6mMUzM0LIeWpjk4GpBHYWrjsNb1zw4W22KTQ4n&#10;Rf7yS3UDLTIrsJH5+Jqo2gn0e89N+zbhgzKce9TzC7r8AwAA//8DAFBLAwQUAAYACAAAACEAykaH&#10;f98AAAAKAQAADwAAAGRycy9kb3ducmV2LnhtbEyPzU7DMBCE70i8g7VI3KgTEgqEOBU/5QA3Ugoc&#10;nXhJLOx1FDtteHtcCQlOo9WsZr4pV7M1bIej144EpIsEGFLrlKZOwOvm8ewKmA+SlDSOUMA3elhV&#10;x0elLJTb0wvu6tCxGEK+kAL6EIaCc9/2aKVfuAEpep9utDLEc+y4GuU+hlvDz5Nkya3UFBt6OeB9&#10;j+1XPVkBZrN+aqb1Njxsn+8y81br9/xDC3F6Mt/eAAs4h79nOOBHdKgiU+MmUp4ZAVkep4RfPfjp&#10;RZ4BawRcp8tL4FXJ/0+ofgAAAP//AwBQSwECLQAUAAYACAAAACEAtoM4kv4AAADhAQAAEwAAAAAA&#10;AAAAAAAAAAAAAAAAW0NvbnRlbnRfVHlwZXNdLnhtbFBLAQItABQABgAIAAAAIQA4/SH/1gAAAJQB&#10;AAALAAAAAAAAAAAAAAAAAC8BAABfcmVscy8ucmVsc1BLAQItABQABgAIAAAAIQBMj8rE7QIAAIkH&#10;AAAOAAAAAAAAAAAAAAAAAC4CAABkcnMvZTJvRG9jLnhtbFBLAQItABQABgAIAAAAIQDKRod/3wAA&#10;AAoBAAAPAAAAAAAAAAAAAAAAAEcFAABkcnMvZG93bnJldi54bWxQSwUGAAAAAAQABADzAAAAUwYA&#10;AAAA&#10;" path="m19502,7219l19502,,,,,15362,19502,7219xe" fillcolor="#00aeb2" stroked="f">
              <v:path arrowok="t" o:connecttype="custom" o:connectlocs="7113600,2634028;7113600,0;0,0;0,5605200;7113600,2634028" o:connectangles="0,0,0,0,0"/>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3D3635" w14:textId="77777777" w:rsidR="008F5685" w:rsidRDefault="008F568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67050"/>
    <w:multiLevelType w:val="multilevel"/>
    <w:tmpl w:val="79A88E14"/>
    <w:numStyleLink w:val="Luettelomerkit"/>
  </w:abstractNum>
  <w:abstractNum w:abstractNumId="1" w15:restartNumberingAfterBreak="0">
    <w:nsid w:val="055E1AD2"/>
    <w:multiLevelType w:val="hybridMultilevel"/>
    <w:tmpl w:val="1D5CC79C"/>
    <w:lvl w:ilvl="0" w:tplc="4384B516">
      <w:start w:val="1"/>
      <w:numFmt w:val="decimal"/>
      <w:lvlText w:val="(%1)"/>
      <w:lvlJc w:val="left"/>
      <w:pPr>
        <w:ind w:left="2336" w:hanging="360"/>
      </w:pPr>
      <w:rPr>
        <w:rFonts w:asciiTheme="minorHAnsi" w:eastAsiaTheme="minorEastAsia" w:hAnsiTheme="minorHAnsi" w:cs="Arial" w:hint="default"/>
        <w:i w:val="0"/>
        <w:noProof w:val="0"/>
        <w:sz w:val="22"/>
      </w:rPr>
    </w:lvl>
    <w:lvl w:ilvl="1" w:tplc="040B0019">
      <w:start w:val="1"/>
      <w:numFmt w:val="lowerLetter"/>
      <w:lvlText w:val="%2."/>
      <w:lvlJc w:val="left"/>
      <w:pPr>
        <w:ind w:left="3056" w:hanging="360"/>
      </w:pPr>
    </w:lvl>
    <w:lvl w:ilvl="2" w:tplc="040B001B" w:tentative="1">
      <w:start w:val="1"/>
      <w:numFmt w:val="lowerRoman"/>
      <w:lvlText w:val="%3."/>
      <w:lvlJc w:val="right"/>
      <w:pPr>
        <w:ind w:left="3776" w:hanging="180"/>
      </w:pPr>
    </w:lvl>
    <w:lvl w:ilvl="3" w:tplc="040B000F" w:tentative="1">
      <w:start w:val="1"/>
      <w:numFmt w:val="decimal"/>
      <w:lvlText w:val="%4."/>
      <w:lvlJc w:val="left"/>
      <w:pPr>
        <w:ind w:left="4496" w:hanging="360"/>
      </w:pPr>
    </w:lvl>
    <w:lvl w:ilvl="4" w:tplc="040B0019" w:tentative="1">
      <w:start w:val="1"/>
      <w:numFmt w:val="lowerLetter"/>
      <w:lvlText w:val="%5."/>
      <w:lvlJc w:val="left"/>
      <w:pPr>
        <w:ind w:left="5216" w:hanging="360"/>
      </w:pPr>
    </w:lvl>
    <w:lvl w:ilvl="5" w:tplc="040B001B" w:tentative="1">
      <w:start w:val="1"/>
      <w:numFmt w:val="lowerRoman"/>
      <w:lvlText w:val="%6."/>
      <w:lvlJc w:val="right"/>
      <w:pPr>
        <w:ind w:left="5936" w:hanging="180"/>
      </w:pPr>
    </w:lvl>
    <w:lvl w:ilvl="6" w:tplc="040B000F" w:tentative="1">
      <w:start w:val="1"/>
      <w:numFmt w:val="decimal"/>
      <w:lvlText w:val="%7."/>
      <w:lvlJc w:val="left"/>
      <w:pPr>
        <w:ind w:left="6656" w:hanging="360"/>
      </w:pPr>
    </w:lvl>
    <w:lvl w:ilvl="7" w:tplc="040B0019" w:tentative="1">
      <w:start w:val="1"/>
      <w:numFmt w:val="lowerLetter"/>
      <w:lvlText w:val="%8."/>
      <w:lvlJc w:val="left"/>
      <w:pPr>
        <w:ind w:left="7376" w:hanging="360"/>
      </w:pPr>
    </w:lvl>
    <w:lvl w:ilvl="8" w:tplc="040B001B" w:tentative="1">
      <w:start w:val="1"/>
      <w:numFmt w:val="lowerRoman"/>
      <w:lvlText w:val="%9."/>
      <w:lvlJc w:val="right"/>
      <w:pPr>
        <w:ind w:left="8096" w:hanging="180"/>
      </w:pPr>
    </w:lvl>
  </w:abstractNum>
  <w:abstractNum w:abstractNumId="2" w15:restartNumberingAfterBreak="0">
    <w:nsid w:val="0BB97611"/>
    <w:multiLevelType w:val="hybridMultilevel"/>
    <w:tmpl w:val="DC2E88CA"/>
    <w:lvl w:ilvl="0" w:tplc="B06A559C">
      <w:start w:val="1"/>
      <w:numFmt w:val="decimal"/>
      <w:lvlText w:val="%1."/>
      <w:lvlJc w:val="left"/>
      <w:pPr>
        <w:ind w:left="1664" w:hanging="360"/>
      </w:pPr>
      <w:rPr>
        <w:rFonts w:hint="default"/>
      </w:rPr>
    </w:lvl>
    <w:lvl w:ilvl="1" w:tplc="040B0019" w:tentative="1">
      <w:start w:val="1"/>
      <w:numFmt w:val="lowerLetter"/>
      <w:lvlText w:val="%2."/>
      <w:lvlJc w:val="left"/>
      <w:pPr>
        <w:ind w:left="2384" w:hanging="360"/>
      </w:pPr>
    </w:lvl>
    <w:lvl w:ilvl="2" w:tplc="040B001B" w:tentative="1">
      <w:start w:val="1"/>
      <w:numFmt w:val="lowerRoman"/>
      <w:lvlText w:val="%3."/>
      <w:lvlJc w:val="right"/>
      <w:pPr>
        <w:ind w:left="3104" w:hanging="180"/>
      </w:pPr>
    </w:lvl>
    <w:lvl w:ilvl="3" w:tplc="040B000F" w:tentative="1">
      <w:start w:val="1"/>
      <w:numFmt w:val="decimal"/>
      <w:lvlText w:val="%4."/>
      <w:lvlJc w:val="left"/>
      <w:pPr>
        <w:ind w:left="3824" w:hanging="360"/>
      </w:pPr>
    </w:lvl>
    <w:lvl w:ilvl="4" w:tplc="040B0019" w:tentative="1">
      <w:start w:val="1"/>
      <w:numFmt w:val="lowerLetter"/>
      <w:lvlText w:val="%5."/>
      <w:lvlJc w:val="left"/>
      <w:pPr>
        <w:ind w:left="4544" w:hanging="360"/>
      </w:pPr>
    </w:lvl>
    <w:lvl w:ilvl="5" w:tplc="040B001B" w:tentative="1">
      <w:start w:val="1"/>
      <w:numFmt w:val="lowerRoman"/>
      <w:lvlText w:val="%6."/>
      <w:lvlJc w:val="right"/>
      <w:pPr>
        <w:ind w:left="5264" w:hanging="180"/>
      </w:pPr>
    </w:lvl>
    <w:lvl w:ilvl="6" w:tplc="040B000F" w:tentative="1">
      <w:start w:val="1"/>
      <w:numFmt w:val="decimal"/>
      <w:lvlText w:val="%7."/>
      <w:lvlJc w:val="left"/>
      <w:pPr>
        <w:ind w:left="5984" w:hanging="360"/>
      </w:pPr>
    </w:lvl>
    <w:lvl w:ilvl="7" w:tplc="040B0019" w:tentative="1">
      <w:start w:val="1"/>
      <w:numFmt w:val="lowerLetter"/>
      <w:lvlText w:val="%8."/>
      <w:lvlJc w:val="left"/>
      <w:pPr>
        <w:ind w:left="6704" w:hanging="360"/>
      </w:pPr>
    </w:lvl>
    <w:lvl w:ilvl="8" w:tplc="040B001B" w:tentative="1">
      <w:start w:val="1"/>
      <w:numFmt w:val="lowerRoman"/>
      <w:lvlText w:val="%9."/>
      <w:lvlJc w:val="right"/>
      <w:pPr>
        <w:ind w:left="7424" w:hanging="180"/>
      </w:pPr>
    </w:lvl>
  </w:abstractNum>
  <w:abstractNum w:abstractNumId="3" w15:restartNumberingAfterBreak="0">
    <w:nsid w:val="0FC06FD1"/>
    <w:multiLevelType w:val="hybridMultilevel"/>
    <w:tmpl w:val="E0E414D6"/>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 w15:restartNumberingAfterBreak="0">
    <w:nsid w:val="152B422E"/>
    <w:multiLevelType w:val="hybridMultilevel"/>
    <w:tmpl w:val="450E9DD0"/>
    <w:lvl w:ilvl="0" w:tplc="ACFA6028">
      <w:start w:val="1"/>
      <w:numFmt w:val="bullet"/>
      <w:lvlText w:val="•"/>
      <w:lvlJc w:val="left"/>
      <w:pPr>
        <w:tabs>
          <w:tab w:val="num" w:pos="720"/>
        </w:tabs>
        <w:ind w:left="720" w:hanging="360"/>
      </w:pPr>
      <w:rPr>
        <w:rFonts w:ascii="Verdana" w:hAnsi="Verdana" w:hint="default"/>
      </w:rPr>
    </w:lvl>
    <w:lvl w:ilvl="1" w:tplc="611E46CC" w:tentative="1">
      <w:start w:val="1"/>
      <w:numFmt w:val="bullet"/>
      <w:lvlText w:val="•"/>
      <w:lvlJc w:val="left"/>
      <w:pPr>
        <w:tabs>
          <w:tab w:val="num" w:pos="1440"/>
        </w:tabs>
        <w:ind w:left="1440" w:hanging="360"/>
      </w:pPr>
      <w:rPr>
        <w:rFonts w:ascii="Verdana" w:hAnsi="Verdana" w:hint="default"/>
      </w:rPr>
    </w:lvl>
    <w:lvl w:ilvl="2" w:tplc="765ADAF6" w:tentative="1">
      <w:start w:val="1"/>
      <w:numFmt w:val="bullet"/>
      <w:lvlText w:val="•"/>
      <w:lvlJc w:val="left"/>
      <w:pPr>
        <w:tabs>
          <w:tab w:val="num" w:pos="2160"/>
        </w:tabs>
        <w:ind w:left="2160" w:hanging="360"/>
      </w:pPr>
      <w:rPr>
        <w:rFonts w:ascii="Verdana" w:hAnsi="Verdana" w:hint="default"/>
      </w:rPr>
    </w:lvl>
    <w:lvl w:ilvl="3" w:tplc="8A5A09B6" w:tentative="1">
      <w:start w:val="1"/>
      <w:numFmt w:val="bullet"/>
      <w:lvlText w:val="•"/>
      <w:lvlJc w:val="left"/>
      <w:pPr>
        <w:tabs>
          <w:tab w:val="num" w:pos="2880"/>
        </w:tabs>
        <w:ind w:left="2880" w:hanging="360"/>
      </w:pPr>
      <w:rPr>
        <w:rFonts w:ascii="Verdana" w:hAnsi="Verdana" w:hint="default"/>
      </w:rPr>
    </w:lvl>
    <w:lvl w:ilvl="4" w:tplc="E3888EFA" w:tentative="1">
      <w:start w:val="1"/>
      <w:numFmt w:val="bullet"/>
      <w:lvlText w:val="•"/>
      <w:lvlJc w:val="left"/>
      <w:pPr>
        <w:tabs>
          <w:tab w:val="num" w:pos="3600"/>
        </w:tabs>
        <w:ind w:left="3600" w:hanging="360"/>
      </w:pPr>
      <w:rPr>
        <w:rFonts w:ascii="Verdana" w:hAnsi="Verdana" w:hint="default"/>
      </w:rPr>
    </w:lvl>
    <w:lvl w:ilvl="5" w:tplc="7E7CCB28" w:tentative="1">
      <w:start w:val="1"/>
      <w:numFmt w:val="bullet"/>
      <w:lvlText w:val="•"/>
      <w:lvlJc w:val="left"/>
      <w:pPr>
        <w:tabs>
          <w:tab w:val="num" w:pos="4320"/>
        </w:tabs>
        <w:ind w:left="4320" w:hanging="360"/>
      </w:pPr>
      <w:rPr>
        <w:rFonts w:ascii="Verdana" w:hAnsi="Verdana" w:hint="default"/>
      </w:rPr>
    </w:lvl>
    <w:lvl w:ilvl="6" w:tplc="6C0A52B4" w:tentative="1">
      <w:start w:val="1"/>
      <w:numFmt w:val="bullet"/>
      <w:lvlText w:val="•"/>
      <w:lvlJc w:val="left"/>
      <w:pPr>
        <w:tabs>
          <w:tab w:val="num" w:pos="5040"/>
        </w:tabs>
        <w:ind w:left="5040" w:hanging="360"/>
      </w:pPr>
      <w:rPr>
        <w:rFonts w:ascii="Verdana" w:hAnsi="Verdana" w:hint="default"/>
      </w:rPr>
    </w:lvl>
    <w:lvl w:ilvl="7" w:tplc="178A6634" w:tentative="1">
      <w:start w:val="1"/>
      <w:numFmt w:val="bullet"/>
      <w:lvlText w:val="•"/>
      <w:lvlJc w:val="left"/>
      <w:pPr>
        <w:tabs>
          <w:tab w:val="num" w:pos="5760"/>
        </w:tabs>
        <w:ind w:left="5760" w:hanging="360"/>
      </w:pPr>
      <w:rPr>
        <w:rFonts w:ascii="Verdana" w:hAnsi="Verdana" w:hint="default"/>
      </w:rPr>
    </w:lvl>
    <w:lvl w:ilvl="8" w:tplc="735A9D82" w:tentative="1">
      <w:start w:val="1"/>
      <w:numFmt w:val="bullet"/>
      <w:lvlText w:val="•"/>
      <w:lvlJc w:val="left"/>
      <w:pPr>
        <w:tabs>
          <w:tab w:val="num" w:pos="6480"/>
        </w:tabs>
        <w:ind w:left="6480" w:hanging="360"/>
      </w:pPr>
      <w:rPr>
        <w:rFonts w:ascii="Verdana" w:hAnsi="Verdana" w:hint="default"/>
      </w:rPr>
    </w:lvl>
  </w:abstractNum>
  <w:abstractNum w:abstractNumId="5" w15:restartNumberingAfterBreak="0">
    <w:nsid w:val="1EE915C0"/>
    <w:multiLevelType w:val="multilevel"/>
    <w:tmpl w:val="4D262566"/>
    <w:lvl w:ilvl="0">
      <w:start w:val="1"/>
      <w:numFmt w:val="decimal"/>
      <w:lvlText w:val="%1"/>
      <w:lvlJc w:val="left"/>
      <w:pPr>
        <w:ind w:left="567" w:hanging="567"/>
      </w:pPr>
      <w:rPr>
        <w:rFonts w:hint="default"/>
      </w:rPr>
    </w:lvl>
    <w:lvl w:ilvl="1">
      <w:start w:val="1"/>
      <w:numFmt w:val="decimal"/>
      <w:lvlText w:val="%2."/>
      <w:lvlJc w:val="left"/>
      <w:pPr>
        <w:ind w:left="851" w:hanging="851"/>
      </w:pPr>
      <w:rPr>
        <w:rFonts w:hint="default"/>
      </w:rPr>
    </w:lvl>
    <w:lvl w:ilvl="2">
      <w:start w:val="1"/>
      <w:numFmt w:val="decimal"/>
      <w:lvlText w:val="%1.%2.%3"/>
      <w:lvlJc w:val="left"/>
      <w:pPr>
        <w:ind w:left="1134" w:hanging="1134"/>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6" w15:restartNumberingAfterBreak="0">
    <w:nsid w:val="23285BED"/>
    <w:multiLevelType w:val="multilevel"/>
    <w:tmpl w:val="05AE3870"/>
    <w:lvl w:ilvl="0">
      <w:start w:val="1"/>
      <w:numFmt w:val="decimal"/>
      <w:lvlText w:val="%1"/>
      <w:lvlJc w:val="left"/>
      <w:pPr>
        <w:ind w:left="567" w:hanging="567"/>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134" w:hanging="1134"/>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7" w15:restartNumberingAfterBreak="0">
    <w:nsid w:val="23D54DA5"/>
    <w:multiLevelType w:val="multilevel"/>
    <w:tmpl w:val="05EC9E3A"/>
    <w:lvl w:ilvl="0">
      <w:start w:val="1"/>
      <w:numFmt w:val="decimal"/>
      <w:lvlText w:val="%1"/>
      <w:lvlJc w:val="left"/>
      <w:pPr>
        <w:ind w:left="567" w:hanging="567"/>
      </w:pPr>
      <w:rPr>
        <w:rFonts w:hint="default"/>
      </w:rPr>
    </w:lvl>
    <w:lvl w:ilvl="1">
      <w:start w:val="1"/>
      <w:numFmt w:val="decimal"/>
      <w:lvlText w:val="%2)"/>
      <w:lvlJc w:val="left"/>
      <w:pPr>
        <w:ind w:left="851" w:hanging="851"/>
      </w:pPr>
      <w:rPr>
        <w:rFonts w:hint="default"/>
      </w:rPr>
    </w:lvl>
    <w:lvl w:ilvl="2">
      <w:start w:val="1"/>
      <w:numFmt w:val="decimal"/>
      <w:lvlText w:val="%1.%2.%3"/>
      <w:lvlJc w:val="left"/>
      <w:pPr>
        <w:ind w:left="1134" w:hanging="1134"/>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8" w15:restartNumberingAfterBreak="0">
    <w:nsid w:val="25E15EBE"/>
    <w:multiLevelType w:val="multilevel"/>
    <w:tmpl w:val="FBD6CC3A"/>
    <w:numStyleLink w:val="Luettelonumerot"/>
  </w:abstractNum>
  <w:abstractNum w:abstractNumId="9" w15:restartNumberingAfterBreak="0">
    <w:nsid w:val="2B731FDA"/>
    <w:multiLevelType w:val="hybridMultilevel"/>
    <w:tmpl w:val="37029398"/>
    <w:lvl w:ilvl="0" w:tplc="040B0001">
      <w:start w:val="1"/>
      <w:numFmt w:val="bullet"/>
      <w:lvlText w:val=""/>
      <w:lvlJc w:val="left"/>
      <w:pPr>
        <w:ind w:left="2024" w:hanging="360"/>
      </w:pPr>
      <w:rPr>
        <w:rFonts w:ascii="Symbol" w:hAnsi="Symbol"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10" w15:restartNumberingAfterBreak="0">
    <w:nsid w:val="2C6D1354"/>
    <w:multiLevelType w:val="hybridMultilevel"/>
    <w:tmpl w:val="4A6456B6"/>
    <w:lvl w:ilvl="0" w:tplc="040B000F">
      <w:start w:val="1"/>
      <w:numFmt w:val="decimal"/>
      <w:lvlText w:val="%1."/>
      <w:lvlJc w:val="left"/>
      <w:pPr>
        <w:ind w:left="2024" w:hanging="360"/>
      </w:pPr>
    </w:lvl>
    <w:lvl w:ilvl="1" w:tplc="040B0019" w:tentative="1">
      <w:start w:val="1"/>
      <w:numFmt w:val="lowerLetter"/>
      <w:lvlText w:val="%2."/>
      <w:lvlJc w:val="left"/>
      <w:pPr>
        <w:ind w:left="2744" w:hanging="360"/>
      </w:pPr>
    </w:lvl>
    <w:lvl w:ilvl="2" w:tplc="040B001B" w:tentative="1">
      <w:start w:val="1"/>
      <w:numFmt w:val="lowerRoman"/>
      <w:lvlText w:val="%3."/>
      <w:lvlJc w:val="right"/>
      <w:pPr>
        <w:ind w:left="3464" w:hanging="180"/>
      </w:pPr>
    </w:lvl>
    <w:lvl w:ilvl="3" w:tplc="040B000F" w:tentative="1">
      <w:start w:val="1"/>
      <w:numFmt w:val="decimal"/>
      <w:lvlText w:val="%4."/>
      <w:lvlJc w:val="left"/>
      <w:pPr>
        <w:ind w:left="4184" w:hanging="360"/>
      </w:pPr>
    </w:lvl>
    <w:lvl w:ilvl="4" w:tplc="040B0019" w:tentative="1">
      <w:start w:val="1"/>
      <w:numFmt w:val="lowerLetter"/>
      <w:lvlText w:val="%5."/>
      <w:lvlJc w:val="left"/>
      <w:pPr>
        <w:ind w:left="4904" w:hanging="360"/>
      </w:pPr>
    </w:lvl>
    <w:lvl w:ilvl="5" w:tplc="040B001B" w:tentative="1">
      <w:start w:val="1"/>
      <w:numFmt w:val="lowerRoman"/>
      <w:lvlText w:val="%6."/>
      <w:lvlJc w:val="right"/>
      <w:pPr>
        <w:ind w:left="5624" w:hanging="180"/>
      </w:pPr>
    </w:lvl>
    <w:lvl w:ilvl="6" w:tplc="040B000F" w:tentative="1">
      <w:start w:val="1"/>
      <w:numFmt w:val="decimal"/>
      <w:lvlText w:val="%7."/>
      <w:lvlJc w:val="left"/>
      <w:pPr>
        <w:ind w:left="6344" w:hanging="360"/>
      </w:pPr>
    </w:lvl>
    <w:lvl w:ilvl="7" w:tplc="040B0019" w:tentative="1">
      <w:start w:val="1"/>
      <w:numFmt w:val="lowerLetter"/>
      <w:lvlText w:val="%8."/>
      <w:lvlJc w:val="left"/>
      <w:pPr>
        <w:ind w:left="7064" w:hanging="360"/>
      </w:pPr>
    </w:lvl>
    <w:lvl w:ilvl="8" w:tplc="040B001B" w:tentative="1">
      <w:start w:val="1"/>
      <w:numFmt w:val="lowerRoman"/>
      <w:lvlText w:val="%9."/>
      <w:lvlJc w:val="right"/>
      <w:pPr>
        <w:ind w:left="7784" w:hanging="180"/>
      </w:pPr>
    </w:lvl>
  </w:abstractNum>
  <w:abstractNum w:abstractNumId="11" w15:restartNumberingAfterBreak="0">
    <w:nsid w:val="2E7925F3"/>
    <w:multiLevelType w:val="hybridMultilevel"/>
    <w:tmpl w:val="39EA3918"/>
    <w:lvl w:ilvl="0" w:tplc="040B0001">
      <w:start w:val="1"/>
      <w:numFmt w:val="bullet"/>
      <w:lvlText w:val=""/>
      <w:lvlJc w:val="left"/>
      <w:pPr>
        <w:ind w:left="2024" w:hanging="360"/>
      </w:pPr>
      <w:rPr>
        <w:rFonts w:ascii="Symbol" w:hAnsi="Symbol"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12" w15:restartNumberingAfterBreak="0">
    <w:nsid w:val="2E867EEC"/>
    <w:multiLevelType w:val="multilevel"/>
    <w:tmpl w:val="78DC29FE"/>
    <w:styleLink w:val="Numeroituotsikointi"/>
    <w:lvl w:ilvl="0">
      <w:start w:val="1"/>
      <w:numFmt w:val="decimal"/>
      <w:lvlText w:val="%1"/>
      <w:lvlJc w:val="left"/>
      <w:pPr>
        <w:ind w:left="567" w:hanging="567"/>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134" w:hanging="1134"/>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3" w15:restartNumberingAfterBreak="0">
    <w:nsid w:val="2FDB2E85"/>
    <w:multiLevelType w:val="hybridMultilevel"/>
    <w:tmpl w:val="01F2F92E"/>
    <w:lvl w:ilvl="0" w:tplc="E8BC2BE2">
      <w:start w:val="1"/>
      <w:numFmt w:val="decimal"/>
      <w:lvlText w:val="%1."/>
      <w:lvlJc w:val="left"/>
      <w:pPr>
        <w:ind w:left="1664" w:hanging="360"/>
      </w:pPr>
      <w:rPr>
        <w:rFonts w:hint="default"/>
      </w:rPr>
    </w:lvl>
    <w:lvl w:ilvl="1" w:tplc="040B0019" w:tentative="1">
      <w:start w:val="1"/>
      <w:numFmt w:val="lowerLetter"/>
      <w:lvlText w:val="%2."/>
      <w:lvlJc w:val="left"/>
      <w:pPr>
        <w:ind w:left="2384" w:hanging="360"/>
      </w:pPr>
    </w:lvl>
    <w:lvl w:ilvl="2" w:tplc="040B001B" w:tentative="1">
      <w:start w:val="1"/>
      <w:numFmt w:val="lowerRoman"/>
      <w:lvlText w:val="%3."/>
      <w:lvlJc w:val="right"/>
      <w:pPr>
        <w:ind w:left="3104" w:hanging="180"/>
      </w:pPr>
    </w:lvl>
    <w:lvl w:ilvl="3" w:tplc="040B000F" w:tentative="1">
      <w:start w:val="1"/>
      <w:numFmt w:val="decimal"/>
      <w:lvlText w:val="%4."/>
      <w:lvlJc w:val="left"/>
      <w:pPr>
        <w:ind w:left="3824" w:hanging="360"/>
      </w:pPr>
    </w:lvl>
    <w:lvl w:ilvl="4" w:tplc="040B0019" w:tentative="1">
      <w:start w:val="1"/>
      <w:numFmt w:val="lowerLetter"/>
      <w:lvlText w:val="%5."/>
      <w:lvlJc w:val="left"/>
      <w:pPr>
        <w:ind w:left="4544" w:hanging="360"/>
      </w:pPr>
    </w:lvl>
    <w:lvl w:ilvl="5" w:tplc="040B001B" w:tentative="1">
      <w:start w:val="1"/>
      <w:numFmt w:val="lowerRoman"/>
      <w:lvlText w:val="%6."/>
      <w:lvlJc w:val="right"/>
      <w:pPr>
        <w:ind w:left="5264" w:hanging="180"/>
      </w:pPr>
    </w:lvl>
    <w:lvl w:ilvl="6" w:tplc="040B000F" w:tentative="1">
      <w:start w:val="1"/>
      <w:numFmt w:val="decimal"/>
      <w:lvlText w:val="%7."/>
      <w:lvlJc w:val="left"/>
      <w:pPr>
        <w:ind w:left="5984" w:hanging="360"/>
      </w:pPr>
    </w:lvl>
    <w:lvl w:ilvl="7" w:tplc="040B0019" w:tentative="1">
      <w:start w:val="1"/>
      <w:numFmt w:val="lowerLetter"/>
      <w:lvlText w:val="%8."/>
      <w:lvlJc w:val="left"/>
      <w:pPr>
        <w:ind w:left="6704" w:hanging="360"/>
      </w:pPr>
    </w:lvl>
    <w:lvl w:ilvl="8" w:tplc="040B001B" w:tentative="1">
      <w:start w:val="1"/>
      <w:numFmt w:val="lowerRoman"/>
      <w:lvlText w:val="%9."/>
      <w:lvlJc w:val="right"/>
      <w:pPr>
        <w:ind w:left="7424" w:hanging="180"/>
      </w:pPr>
    </w:lvl>
  </w:abstractNum>
  <w:abstractNum w:abstractNumId="14" w15:restartNumberingAfterBreak="0">
    <w:nsid w:val="3CE55AD8"/>
    <w:multiLevelType w:val="hybridMultilevel"/>
    <w:tmpl w:val="BF908540"/>
    <w:lvl w:ilvl="0" w:tplc="64F80D1A">
      <w:start w:val="1"/>
      <w:numFmt w:val="bullet"/>
      <w:lvlText w:val="•"/>
      <w:lvlJc w:val="left"/>
      <w:pPr>
        <w:tabs>
          <w:tab w:val="num" w:pos="720"/>
        </w:tabs>
        <w:ind w:left="720" w:hanging="360"/>
      </w:pPr>
      <w:rPr>
        <w:rFonts w:ascii="Verdana" w:hAnsi="Verdana" w:hint="default"/>
      </w:rPr>
    </w:lvl>
    <w:lvl w:ilvl="1" w:tplc="F84E5CEE" w:tentative="1">
      <w:start w:val="1"/>
      <w:numFmt w:val="bullet"/>
      <w:lvlText w:val="•"/>
      <w:lvlJc w:val="left"/>
      <w:pPr>
        <w:tabs>
          <w:tab w:val="num" w:pos="1440"/>
        </w:tabs>
        <w:ind w:left="1440" w:hanging="360"/>
      </w:pPr>
      <w:rPr>
        <w:rFonts w:ascii="Verdana" w:hAnsi="Verdana" w:hint="default"/>
      </w:rPr>
    </w:lvl>
    <w:lvl w:ilvl="2" w:tplc="718200F8" w:tentative="1">
      <w:start w:val="1"/>
      <w:numFmt w:val="bullet"/>
      <w:lvlText w:val="•"/>
      <w:lvlJc w:val="left"/>
      <w:pPr>
        <w:tabs>
          <w:tab w:val="num" w:pos="2160"/>
        </w:tabs>
        <w:ind w:left="2160" w:hanging="360"/>
      </w:pPr>
      <w:rPr>
        <w:rFonts w:ascii="Verdana" w:hAnsi="Verdana" w:hint="default"/>
      </w:rPr>
    </w:lvl>
    <w:lvl w:ilvl="3" w:tplc="7D7C9ADC" w:tentative="1">
      <w:start w:val="1"/>
      <w:numFmt w:val="bullet"/>
      <w:lvlText w:val="•"/>
      <w:lvlJc w:val="left"/>
      <w:pPr>
        <w:tabs>
          <w:tab w:val="num" w:pos="2880"/>
        </w:tabs>
        <w:ind w:left="2880" w:hanging="360"/>
      </w:pPr>
      <w:rPr>
        <w:rFonts w:ascii="Verdana" w:hAnsi="Verdana" w:hint="default"/>
      </w:rPr>
    </w:lvl>
    <w:lvl w:ilvl="4" w:tplc="5D1424A0" w:tentative="1">
      <w:start w:val="1"/>
      <w:numFmt w:val="bullet"/>
      <w:lvlText w:val="•"/>
      <w:lvlJc w:val="left"/>
      <w:pPr>
        <w:tabs>
          <w:tab w:val="num" w:pos="3600"/>
        </w:tabs>
        <w:ind w:left="3600" w:hanging="360"/>
      </w:pPr>
      <w:rPr>
        <w:rFonts w:ascii="Verdana" w:hAnsi="Verdana" w:hint="default"/>
      </w:rPr>
    </w:lvl>
    <w:lvl w:ilvl="5" w:tplc="8EEEAED0" w:tentative="1">
      <w:start w:val="1"/>
      <w:numFmt w:val="bullet"/>
      <w:lvlText w:val="•"/>
      <w:lvlJc w:val="left"/>
      <w:pPr>
        <w:tabs>
          <w:tab w:val="num" w:pos="4320"/>
        </w:tabs>
        <w:ind w:left="4320" w:hanging="360"/>
      </w:pPr>
      <w:rPr>
        <w:rFonts w:ascii="Verdana" w:hAnsi="Verdana" w:hint="default"/>
      </w:rPr>
    </w:lvl>
    <w:lvl w:ilvl="6" w:tplc="E4C6262E" w:tentative="1">
      <w:start w:val="1"/>
      <w:numFmt w:val="bullet"/>
      <w:lvlText w:val="•"/>
      <w:lvlJc w:val="left"/>
      <w:pPr>
        <w:tabs>
          <w:tab w:val="num" w:pos="5040"/>
        </w:tabs>
        <w:ind w:left="5040" w:hanging="360"/>
      </w:pPr>
      <w:rPr>
        <w:rFonts w:ascii="Verdana" w:hAnsi="Verdana" w:hint="default"/>
      </w:rPr>
    </w:lvl>
    <w:lvl w:ilvl="7" w:tplc="2D2EB9CE" w:tentative="1">
      <w:start w:val="1"/>
      <w:numFmt w:val="bullet"/>
      <w:lvlText w:val="•"/>
      <w:lvlJc w:val="left"/>
      <w:pPr>
        <w:tabs>
          <w:tab w:val="num" w:pos="5760"/>
        </w:tabs>
        <w:ind w:left="5760" w:hanging="360"/>
      </w:pPr>
      <w:rPr>
        <w:rFonts w:ascii="Verdana" w:hAnsi="Verdana" w:hint="default"/>
      </w:rPr>
    </w:lvl>
    <w:lvl w:ilvl="8" w:tplc="8B662A22" w:tentative="1">
      <w:start w:val="1"/>
      <w:numFmt w:val="bullet"/>
      <w:lvlText w:val="•"/>
      <w:lvlJc w:val="left"/>
      <w:pPr>
        <w:tabs>
          <w:tab w:val="num" w:pos="6480"/>
        </w:tabs>
        <w:ind w:left="6480" w:hanging="360"/>
      </w:pPr>
      <w:rPr>
        <w:rFonts w:ascii="Verdana" w:hAnsi="Verdana" w:hint="default"/>
      </w:rPr>
    </w:lvl>
  </w:abstractNum>
  <w:abstractNum w:abstractNumId="15" w15:restartNumberingAfterBreak="0">
    <w:nsid w:val="3F933D91"/>
    <w:multiLevelType w:val="hybridMultilevel"/>
    <w:tmpl w:val="F2A6865A"/>
    <w:lvl w:ilvl="0" w:tplc="040B000F">
      <w:start w:val="1"/>
      <w:numFmt w:val="decimal"/>
      <w:lvlText w:val="%1."/>
      <w:lvlJc w:val="left"/>
      <w:pPr>
        <w:ind w:left="2024" w:hanging="360"/>
      </w:pPr>
    </w:lvl>
    <w:lvl w:ilvl="1" w:tplc="040B0019" w:tentative="1">
      <w:start w:val="1"/>
      <w:numFmt w:val="lowerLetter"/>
      <w:lvlText w:val="%2."/>
      <w:lvlJc w:val="left"/>
      <w:pPr>
        <w:ind w:left="2744" w:hanging="360"/>
      </w:pPr>
    </w:lvl>
    <w:lvl w:ilvl="2" w:tplc="040B001B" w:tentative="1">
      <w:start w:val="1"/>
      <w:numFmt w:val="lowerRoman"/>
      <w:lvlText w:val="%3."/>
      <w:lvlJc w:val="right"/>
      <w:pPr>
        <w:ind w:left="3464" w:hanging="180"/>
      </w:pPr>
    </w:lvl>
    <w:lvl w:ilvl="3" w:tplc="040B000F" w:tentative="1">
      <w:start w:val="1"/>
      <w:numFmt w:val="decimal"/>
      <w:lvlText w:val="%4."/>
      <w:lvlJc w:val="left"/>
      <w:pPr>
        <w:ind w:left="4184" w:hanging="360"/>
      </w:pPr>
    </w:lvl>
    <w:lvl w:ilvl="4" w:tplc="040B0019" w:tentative="1">
      <w:start w:val="1"/>
      <w:numFmt w:val="lowerLetter"/>
      <w:lvlText w:val="%5."/>
      <w:lvlJc w:val="left"/>
      <w:pPr>
        <w:ind w:left="4904" w:hanging="360"/>
      </w:pPr>
    </w:lvl>
    <w:lvl w:ilvl="5" w:tplc="040B001B" w:tentative="1">
      <w:start w:val="1"/>
      <w:numFmt w:val="lowerRoman"/>
      <w:lvlText w:val="%6."/>
      <w:lvlJc w:val="right"/>
      <w:pPr>
        <w:ind w:left="5624" w:hanging="180"/>
      </w:pPr>
    </w:lvl>
    <w:lvl w:ilvl="6" w:tplc="040B000F" w:tentative="1">
      <w:start w:val="1"/>
      <w:numFmt w:val="decimal"/>
      <w:lvlText w:val="%7."/>
      <w:lvlJc w:val="left"/>
      <w:pPr>
        <w:ind w:left="6344" w:hanging="360"/>
      </w:pPr>
    </w:lvl>
    <w:lvl w:ilvl="7" w:tplc="040B0019" w:tentative="1">
      <w:start w:val="1"/>
      <w:numFmt w:val="lowerLetter"/>
      <w:lvlText w:val="%8."/>
      <w:lvlJc w:val="left"/>
      <w:pPr>
        <w:ind w:left="7064" w:hanging="360"/>
      </w:pPr>
    </w:lvl>
    <w:lvl w:ilvl="8" w:tplc="040B001B" w:tentative="1">
      <w:start w:val="1"/>
      <w:numFmt w:val="lowerRoman"/>
      <w:lvlText w:val="%9."/>
      <w:lvlJc w:val="right"/>
      <w:pPr>
        <w:ind w:left="7784" w:hanging="180"/>
      </w:pPr>
    </w:lvl>
  </w:abstractNum>
  <w:abstractNum w:abstractNumId="16" w15:restartNumberingAfterBreak="0">
    <w:nsid w:val="58B02BA9"/>
    <w:multiLevelType w:val="hybridMultilevel"/>
    <w:tmpl w:val="4942BBCE"/>
    <w:lvl w:ilvl="0" w:tplc="040B0001">
      <w:start w:val="1"/>
      <w:numFmt w:val="bullet"/>
      <w:lvlText w:val=""/>
      <w:lvlJc w:val="left"/>
      <w:pPr>
        <w:ind w:left="2024" w:hanging="360"/>
      </w:pPr>
      <w:rPr>
        <w:rFonts w:ascii="Symbol" w:hAnsi="Symbol"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17" w15:restartNumberingAfterBreak="0">
    <w:nsid w:val="5D165F1C"/>
    <w:multiLevelType w:val="hybridMultilevel"/>
    <w:tmpl w:val="F2A6865A"/>
    <w:lvl w:ilvl="0" w:tplc="040B000F">
      <w:start w:val="1"/>
      <w:numFmt w:val="decimal"/>
      <w:lvlText w:val="%1."/>
      <w:lvlJc w:val="left"/>
      <w:pPr>
        <w:ind w:left="2024" w:hanging="360"/>
      </w:pPr>
    </w:lvl>
    <w:lvl w:ilvl="1" w:tplc="040B0019" w:tentative="1">
      <w:start w:val="1"/>
      <w:numFmt w:val="lowerLetter"/>
      <w:lvlText w:val="%2."/>
      <w:lvlJc w:val="left"/>
      <w:pPr>
        <w:ind w:left="2744" w:hanging="360"/>
      </w:pPr>
    </w:lvl>
    <w:lvl w:ilvl="2" w:tplc="040B001B" w:tentative="1">
      <w:start w:val="1"/>
      <w:numFmt w:val="lowerRoman"/>
      <w:lvlText w:val="%3."/>
      <w:lvlJc w:val="right"/>
      <w:pPr>
        <w:ind w:left="3464" w:hanging="180"/>
      </w:pPr>
    </w:lvl>
    <w:lvl w:ilvl="3" w:tplc="040B000F" w:tentative="1">
      <w:start w:val="1"/>
      <w:numFmt w:val="decimal"/>
      <w:lvlText w:val="%4."/>
      <w:lvlJc w:val="left"/>
      <w:pPr>
        <w:ind w:left="4184" w:hanging="360"/>
      </w:pPr>
    </w:lvl>
    <w:lvl w:ilvl="4" w:tplc="040B0019" w:tentative="1">
      <w:start w:val="1"/>
      <w:numFmt w:val="lowerLetter"/>
      <w:lvlText w:val="%5."/>
      <w:lvlJc w:val="left"/>
      <w:pPr>
        <w:ind w:left="4904" w:hanging="360"/>
      </w:pPr>
    </w:lvl>
    <w:lvl w:ilvl="5" w:tplc="040B001B" w:tentative="1">
      <w:start w:val="1"/>
      <w:numFmt w:val="lowerRoman"/>
      <w:lvlText w:val="%6."/>
      <w:lvlJc w:val="right"/>
      <w:pPr>
        <w:ind w:left="5624" w:hanging="180"/>
      </w:pPr>
    </w:lvl>
    <w:lvl w:ilvl="6" w:tplc="040B000F" w:tentative="1">
      <w:start w:val="1"/>
      <w:numFmt w:val="decimal"/>
      <w:lvlText w:val="%7."/>
      <w:lvlJc w:val="left"/>
      <w:pPr>
        <w:ind w:left="6344" w:hanging="360"/>
      </w:pPr>
    </w:lvl>
    <w:lvl w:ilvl="7" w:tplc="040B0019" w:tentative="1">
      <w:start w:val="1"/>
      <w:numFmt w:val="lowerLetter"/>
      <w:lvlText w:val="%8."/>
      <w:lvlJc w:val="left"/>
      <w:pPr>
        <w:ind w:left="7064" w:hanging="360"/>
      </w:pPr>
    </w:lvl>
    <w:lvl w:ilvl="8" w:tplc="040B001B" w:tentative="1">
      <w:start w:val="1"/>
      <w:numFmt w:val="lowerRoman"/>
      <w:lvlText w:val="%9."/>
      <w:lvlJc w:val="right"/>
      <w:pPr>
        <w:ind w:left="7784" w:hanging="180"/>
      </w:pPr>
    </w:lvl>
  </w:abstractNum>
  <w:abstractNum w:abstractNumId="18" w15:restartNumberingAfterBreak="0">
    <w:nsid w:val="5D8741EC"/>
    <w:multiLevelType w:val="multilevel"/>
    <w:tmpl w:val="FBD6CC3A"/>
    <w:styleLink w:val="Luettelonumerot"/>
    <w:lvl w:ilvl="0">
      <w:start w:val="1"/>
      <w:numFmt w:val="decimal"/>
      <w:pStyle w:val="ListNumber"/>
      <w:lvlText w:val="%1."/>
      <w:lvlJc w:val="left"/>
      <w:pPr>
        <w:ind w:left="1701" w:hanging="397"/>
      </w:pPr>
      <w:rPr>
        <w:rFonts w:hint="default"/>
      </w:rPr>
    </w:lvl>
    <w:lvl w:ilvl="1">
      <w:start w:val="1"/>
      <w:numFmt w:val="bullet"/>
      <w:lvlText w:val="–"/>
      <w:lvlJc w:val="left"/>
      <w:pPr>
        <w:ind w:left="2098" w:hanging="397"/>
      </w:pPr>
      <w:rPr>
        <w:rFonts w:ascii="Verdana" w:hAnsi="Verdana" w:hint="default"/>
        <w:color w:val="auto"/>
      </w:rPr>
    </w:lvl>
    <w:lvl w:ilvl="2">
      <w:start w:val="1"/>
      <w:numFmt w:val="bullet"/>
      <w:lvlText w:val="–"/>
      <w:lvlJc w:val="left"/>
      <w:pPr>
        <w:ind w:left="2495" w:hanging="397"/>
      </w:pPr>
      <w:rPr>
        <w:rFonts w:ascii="Verdana" w:hAnsi="Verdana" w:hint="default"/>
        <w:color w:val="auto"/>
      </w:rPr>
    </w:lvl>
    <w:lvl w:ilvl="3">
      <w:start w:val="1"/>
      <w:numFmt w:val="bullet"/>
      <w:lvlText w:val="–"/>
      <w:lvlJc w:val="left"/>
      <w:pPr>
        <w:ind w:left="2892" w:hanging="397"/>
      </w:pPr>
      <w:rPr>
        <w:rFonts w:ascii="Verdana" w:hAnsi="Verdana" w:hint="default"/>
        <w:color w:val="auto"/>
      </w:rPr>
    </w:lvl>
    <w:lvl w:ilvl="4">
      <w:start w:val="1"/>
      <w:numFmt w:val="bullet"/>
      <w:lvlText w:val="–"/>
      <w:lvlJc w:val="left"/>
      <w:pPr>
        <w:ind w:left="3289" w:hanging="397"/>
      </w:pPr>
      <w:rPr>
        <w:rFonts w:ascii="Verdana" w:hAnsi="Verdana" w:hint="default"/>
        <w:color w:val="auto"/>
      </w:rPr>
    </w:lvl>
    <w:lvl w:ilvl="5">
      <w:start w:val="1"/>
      <w:numFmt w:val="bullet"/>
      <w:lvlText w:val="–"/>
      <w:lvlJc w:val="left"/>
      <w:pPr>
        <w:ind w:left="3686" w:hanging="397"/>
      </w:pPr>
      <w:rPr>
        <w:rFonts w:ascii="Verdana" w:hAnsi="Verdana" w:hint="default"/>
        <w:color w:val="auto"/>
      </w:rPr>
    </w:lvl>
    <w:lvl w:ilvl="6">
      <w:start w:val="1"/>
      <w:numFmt w:val="bullet"/>
      <w:lvlText w:val="–"/>
      <w:lvlJc w:val="left"/>
      <w:pPr>
        <w:ind w:left="4083" w:hanging="397"/>
      </w:pPr>
      <w:rPr>
        <w:rFonts w:ascii="Verdana" w:hAnsi="Verdana" w:hint="default"/>
        <w:color w:val="auto"/>
      </w:rPr>
    </w:lvl>
    <w:lvl w:ilvl="7">
      <w:start w:val="1"/>
      <w:numFmt w:val="bullet"/>
      <w:lvlText w:val="–"/>
      <w:lvlJc w:val="left"/>
      <w:pPr>
        <w:ind w:left="4480" w:hanging="397"/>
      </w:pPr>
      <w:rPr>
        <w:rFonts w:ascii="Verdana" w:hAnsi="Verdana" w:hint="default"/>
        <w:color w:val="auto"/>
      </w:rPr>
    </w:lvl>
    <w:lvl w:ilvl="8">
      <w:start w:val="1"/>
      <w:numFmt w:val="bullet"/>
      <w:lvlText w:val="–"/>
      <w:lvlJc w:val="left"/>
      <w:pPr>
        <w:ind w:left="4877" w:hanging="397"/>
      </w:pPr>
      <w:rPr>
        <w:rFonts w:ascii="Verdana" w:hAnsi="Verdana" w:hint="default"/>
        <w:color w:val="auto"/>
      </w:rPr>
    </w:lvl>
  </w:abstractNum>
  <w:abstractNum w:abstractNumId="19" w15:restartNumberingAfterBreak="0">
    <w:nsid w:val="5E1633A8"/>
    <w:multiLevelType w:val="hybridMultilevel"/>
    <w:tmpl w:val="CC4E87A0"/>
    <w:lvl w:ilvl="0" w:tplc="040B000F">
      <w:start w:val="1"/>
      <w:numFmt w:val="decimal"/>
      <w:lvlText w:val="%1."/>
      <w:lvlJc w:val="left"/>
      <w:pPr>
        <w:ind w:left="2024" w:hanging="360"/>
      </w:pPr>
    </w:lvl>
    <w:lvl w:ilvl="1" w:tplc="040B0019" w:tentative="1">
      <w:start w:val="1"/>
      <w:numFmt w:val="lowerLetter"/>
      <w:lvlText w:val="%2."/>
      <w:lvlJc w:val="left"/>
      <w:pPr>
        <w:ind w:left="2744" w:hanging="360"/>
      </w:pPr>
    </w:lvl>
    <w:lvl w:ilvl="2" w:tplc="040B001B" w:tentative="1">
      <w:start w:val="1"/>
      <w:numFmt w:val="lowerRoman"/>
      <w:lvlText w:val="%3."/>
      <w:lvlJc w:val="right"/>
      <w:pPr>
        <w:ind w:left="3464" w:hanging="180"/>
      </w:pPr>
    </w:lvl>
    <w:lvl w:ilvl="3" w:tplc="040B000F" w:tentative="1">
      <w:start w:val="1"/>
      <w:numFmt w:val="decimal"/>
      <w:lvlText w:val="%4."/>
      <w:lvlJc w:val="left"/>
      <w:pPr>
        <w:ind w:left="4184" w:hanging="360"/>
      </w:pPr>
    </w:lvl>
    <w:lvl w:ilvl="4" w:tplc="040B0019" w:tentative="1">
      <w:start w:val="1"/>
      <w:numFmt w:val="lowerLetter"/>
      <w:lvlText w:val="%5."/>
      <w:lvlJc w:val="left"/>
      <w:pPr>
        <w:ind w:left="4904" w:hanging="360"/>
      </w:pPr>
    </w:lvl>
    <w:lvl w:ilvl="5" w:tplc="040B001B" w:tentative="1">
      <w:start w:val="1"/>
      <w:numFmt w:val="lowerRoman"/>
      <w:lvlText w:val="%6."/>
      <w:lvlJc w:val="right"/>
      <w:pPr>
        <w:ind w:left="5624" w:hanging="180"/>
      </w:pPr>
    </w:lvl>
    <w:lvl w:ilvl="6" w:tplc="040B000F" w:tentative="1">
      <w:start w:val="1"/>
      <w:numFmt w:val="decimal"/>
      <w:lvlText w:val="%7."/>
      <w:lvlJc w:val="left"/>
      <w:pPr>
        <w:ind w:left="6344" w:hanging="360"/>
      </w:pPr>
    </w:lvl>
    <w:lvl w:ilvl="7" w:tplc="040B0019" w:tentative="1">
      <w:start w:val="1"/>
      <w:numFmt w:val="lowerLetter"/>
      <w:lvlText w:val="%8."/>
      <w:lvlJc w:val="left"/>
      <w:pPr>
        <w:ind w:left="7064" w:hanging="360"/>
      </w:pPr>
    </w:lvl>
    <w:lvl w:ilvl="8" w:tplc="040B001B" w:tentative="1">
      <w:start w:val="1"/>
      <w:numFmt w:val="lowerRoman"/>
      <w:lvlText w:val="%9."/>
      <w:lvlJc w:val="right"/>
      <w:pPr>
        <w:ind w:left="7784" w:hanging="180"/>
      </w:pPr>
    </w:lvl>
  </w:abstractNum>
  <w:abstractNum w:abstractNumId="20" w15:restartNumberingAfterBreak="0">
    <w:nsid w:val="60090B04"/>
    <w:multiLevelType w:val="multilevel"/>
    <w:tmpl w:val="78DC29FE"/>
    <w:lvl w:ilvl="0">
      <w:start w:val="1"/>
      <w:numFmt w:val="decimal"/>
      <w:pStyle w:val="Heading1"/>
      <w:lvlText w:val="%1"/>
      <w:lvlJc w:val="left"/>
      <w:pPr>
        <w:ind w:left="567" w:hanging="567"/>
      </w:pPr>
      <w:rPr>
        <w:rFonts w:hint="default"/>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1134" w:hanging="1134"/>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pStyle w:val="Heading8"/>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1" w15:restartNumberingAfterBreak="0">
    <w:nsid w:val="64E74A9B"/>
    <w:multiLevelType w:val="hybridMultilevel"/>
    <w:tmpl w:val="F2AEBF46"/>
    <w:lvl w:ilvl="0" w:tplc="11A0A55A">
      <w:start w:val="1"/>
      <w:numFmt w:val="decimal"/>
      <w:lvlText w:val="%1."/>
      <w:lvlJc w:val="left"/>
      <w:pPr>
        <w:ind w:left="1664" w:hanging="360"/>
      </w:pPr>
      <w:rPr>
        <w:rFonts w:hint="default"/>
      </w:rPr>
    </w:lvl>
    <w:lvl w:ilvl="1" w:tplc="040B0019" w:tentative="1">
      <w:start w:val="1"/>
      <w:numFmt w:val="lowerLetter"/>
      <w:lvlText w:val="%2."/>
      <w:lvlJc w:val="left"/>
      <w:pPr>
        <w:ind w:left="2384" w:hanging="360"/>
      </w:pPr>
    </w:lvl>
    <w:lvl w:ilvl="2" w:tplc="040B001B" w:tentative="1">
      <w:start w:val="1"/>
      <w:numFmt w:val="lowerRoman"/>
      <w:lvlText w:val="%3."/>
      <w:lvlJc w:val="right"/>
      <w:pPr>
        <w:ind w:left="3104" w:hanging="180"/>
      </w:pPr>
    </w:lvl>
    <w:lvl w:ilvl="3" w:tplc="040B000F" w:tentative="1">
      <w:start w:val="1"/>
      <w:numFmt w:val="decimal"/>
      <w:lvlText w:val="%4."/>
      <w:lvlJc w:val="left"/>
      <w:pPr>
        <w:ind w:left="3824" w:hanging="360"/>
      </w:pPr>
    </w:lvl>
    <w:lvl w:ilvl="4" w:tplc="040B0019" w:tentative="1">
      <w:start w:val="1"/>
      <w:numFmt w:val="lowerLetter"/>
      <w:lvlText w:val="%5."/>
      <w:lvlJc w:val="left"/>
      <w:pPr>
        <w:ind w:left="4544" w:hanging="360"/>
      </w:pPr>
    </w:lvl>
    <w:lvl w:ilvl="5" w:tplc="040B001B" w:tentative="1">
      <w:start w:val="1"/>
      <w:numFmt w:val="lowerRoman"/>
      <w:lvlText w:val="%6."/>
      <w:lvlJc w:val="right"/>
      <w:pPr>
        <w:ind w:left="5264" w:hanging="180"/>
      </w:pPr>
    </w:lvl>
    <w:lvl w:ilvl="6" w:tplc="040B000F" w:tentative="1">
      <w:start w:val="1"/>
      <w:numFmt w:val="decimal"/>
      <w:lvlText w:val="%7."/>
      <w:lvlJc w:val="left"/>
      <w:pPr>
        <w:ind w:left="5984" w:hanging="360"/>
      </w:pPr>
    </w:lvl>
    <w:lvl w:ilvl="7" w:tplc="040B0019" w:tentative="1">
      <w:start w:val="1"/>
      <w:numFmt w:val="lowerLetter"/>
      <w:lvlText w:val="%8."/>
      <w:lvlJc w:val="left"/>
      <w:pPr>
        <w:ind w:left="6704" w:hanging="360"/>
      </w:pPr>
    </w:lvl>
    <w:lvl w:ilvl="8" w:tplc="040B001B" w:tentative="1">
      <w:start w:val="1"/>
      <w:numFmt w:val="lowerRoman"/>
      <w:lvlText w:val="%9."/>
      <w:lvlJc w:val="right"/>
      <w:pPr>
        <w:ind w:left="7424" w:hanging="180"/>
      </w:pPr>
    </w:lvl>
  </w:abstractNum>
  <w:abstractNum w:abstractNumId="22" w15:restartNumberingAfterBreak="0">
    <w:nsid w:val="65E8490B"/>
    <w:multiLevelType w:val="hybridMultilevel"/>
    <w:tmpl w:val="DDD275EA"/>
    <w:lvl w:ilvl="0" w:tplc="040B0001">
      <w:start w:val="1"/>
      <w:numFmt w:val="bullet"/>
      <w:lvlText w:val=""/>
      <w:lvlJc w:val="left"/>
      <w:pPr>
        <w:ind w:left="2024" w:hanging="360"/>
      </w:pPr>
      <w:rPr>
        <w:rFonts w:ascii="Symbol" w:hAnsi="Symbol"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23" w15:restartNumberingAfterBreak="0">
    <w:nsid w:val="68DF7907"/>
    <w:multiLevelType w:val="hybridMultilevel"/>
    <w:tmpl w:val="BF2EC59E"/>
    <w:lvl w:ilvl="0" w:tplc="F958317C">
      <w:start w:val="1"/>
      <w:numFmt w:val="decimal"/>
      <w:lvlText w:val="%1)"/>
      <w:lvlJc w:val="left"/>
      <w:pPr>
        <w:ind w:left="720" w:hanging="360"/>
      </w:pPr>
      <w:rPr>
        <w:rFonts w:ascii="Calibri" w:eastAsia="Calibri" w:hAnsi="Calibri" w:cs="Times New Roman"/>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24" w15:restartNumberingAfterBreak="0">
    <w:nsid w:val="6C070438"/>
    <w:multiLevelType w:val="hybridMultilevel"/>
    <w:tmpl w:val="F842C838"/>
    <w:lvl w:ilvl="0" w:tplc="040B000F">
      <w:start w:val="1"/>
      <w:numFmt w:val="decimal"/>
      <w:lvlText w:val="%1."/>
      <w:lvlJc w:val="left"/>
      <w:pPr>
        <w:ind w:left="2024" w:hanging="360"/>
      </w:pPr>
    </w:lvl>
    <w:lvl w:ilvl="1" w:tplc="040B0019" w:tentative="1">
      <w:start w:val="1"/>
      <w:numFmt w:val="lowerLetter"/>
      <w:lvlText w:val="%2."/>
      <w:lvlJc w:val="left"/>
      <w:pPr>
        <w:ind w:left="2744" w:hanging="360"/>
      </w:pPr>
    </w:lvl>
    <w:lvl w:ilvl="2" w:tplc="040B001B" w:tentative="1">
      <w:start w:val="1"/>
      <w:numFmt w:val="lowerRoman"/>
      <w:lvlText w:val="%3."/>
      <w:lvlJc w:val="right"/>
      <w:pPr>
        <w:ind w:left="3464" w:hanging="180"/>
      </w:pPr>
    </w:lvl>
    <w:lvl w:ilvl="3" w:tplc="040B000F" w:tentative="1">
      <w:start w:val="1"/>
      <w:numFmt w:val="decimal"/>
      <w:lvlText w:val="%4."/>
      <w:lvlJc w:val="left"/>
      <w:pPr>
        <w:ind w:left="4184" w:hanging="360"/>
      </w:pPr>
    </w:lvl>
    <w:lvl w:ilvl="4" w:tplc="040B0019" w:tentative="1">
      <w:start w:val="1"/>
      <w:numFmt w:val="lowerLetter"/>
      <w:lvlText w:val="%5."/>
      <w:lvlJc w:val="left"/>
      <w:pPr>
        <w:ind w:left="4904" w:hanging="360"/>
      </w:pPr>
    </w:lvl>
    <w:lvl w:ilvl="5" w:tplc="040B001B" w:tentative="1">
      <w:start w:val="1"/>
      <w:numFmt w:val="lowerRoman"/>
      <w:lvlText w:val="%6."/>
      <w:lvlJc w:val="right"/>
      <w:pPr>
        <w:ind w:left="5624" w:hanging="180"/>
      </w:pPr>
    </w:lvl>
    <w:lvl w:ilvl="6" w:tplc="040B000F" w:tentative="1">
      <w:start w:val="1"/>
      <w:numFmt w:val="decimal"/>
      <w:lvlText w:val="%7."/>
      <w:lvlJc w:val="left"/>
      <w:pPr>
        <w:ind w:left="6344" w:hanging="360"/>
      </w:pPr>
    </w:lvl>
    <w:lvl w:ilvl="7" w:tplc="040B0019" w:tentative="1">
      <w:start w:val="1"/>
      <w:numFmt w:val="lowerLetter"/>
      <w:lvlText w:val="%8."/>
      <w:lvlJc w:val="left"/>
      <w:pPr>
        <w:ind w:left="7064" w:hanging="360"/>
      </w:pPr>
    </w:lvl>
    <w:lvl w:ilvl="8" w:tplc="040B001B" w:tentative="1">
      <w:start w:val="1"/>
      <w:numFmt w:val="lowerRoman"/>
      <w:lvlText w:val="%9."/>
      <w:lvlJc w:val="right"/>
      <w:pPr>
        <w:ind w:left="7784" w:hanging="180"/>
      </w:pPr>
    </w:lvl>
  </w:abstractNum>
  <w:abstractNum w:abstractNumId="25" w15:restartNumberingAfterBreak="0">
    <w:nsid w:val="77DF7E93"/>
    <w:multiLevelType w:val="hybridMultilevel"/>
    <w:tmpl w:val="BF2EC59E"/>
    <w:lvl w:ilvl="0" w:tplc="F958317C">
      <w:start w:val="1"/>
      <w:numFmt w:val="decimal"/>
      <w:lvlText w:val="%1)"/>
      <w:lvlJc w:val="left"/>
      <w:pPr>
        <w:ind w:left="720" w:hanging="360"/>
      </w:pPr>
      <w:rPr>
        <w:rFonts w:ascii="Calibri" w:eastAsia="Calibri" w:hAnsi="Calibri" w:cs="Times New Roman"/>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26" w15:restartNumberingAfterBreak="0">
    <w:nsid w:val="7F263A62"/>
    <w:multiLevelType w:val="multilevel"/>
    <w:tmpl w:val="79A88E14"/>
    <w:styleLink w:val="Luettelomerkit"/>
    <w:lvl w:ilvl="0">
      <w:start w:val="1"/>
      <w:numFmt w:val="bullet"/>
      <w:pStyle w:val="ListBullet"/>
      <w:lvlText w:val=""/>
      <w:lvlJc w:val="left"/>
      <w:pPr>
        <w:ind w:left="1701" w:hanging="397"/>
      </w:pPr>
      <w:rPr>
        <w:rFonts w:ascii="Symbol" w:hAnsi="Symbol" w:hint="default"/>
        <w:color w:val="auto"/>
      </w:rPr>
    </w:lvl>
    <w:lvl w:ilvl="1">
      <w:start w:val="1"/>
      <w:numFmt w:val="bullet"/>
      <w:lvlText w:val="–"/>
      <w:lvlJc w:val="left"/>
      <w:pPr>
        <w:ind w:left="2098" w:hanging="397"/>
      </w:pPr>
      <w:rPr>
        <w:rFonts w:ascii="Verdana" w:hAnsi="Verdana" w:hint="default"/>
        <w:color w:val="auto"/>
      </w:rPr>
    </w:lvl>
    <w:lvl w:ilvl="2">
      <w:start w:val="1"/>
      <w:numFmt w:val="bullet"/>
      <w:lvlText w:val="–"/>
      <w:lvlJc w:val="left"/>
      <w:pPr>
        <w:ind w:left="2495" w:hanging="397"/>
      </w:pPr>
      <w:rPr>
        <w:rFonts w:ascii="Verdana" w:hAnsi="Verdana" w:hint="default"/>
        <w:color w:val="auto"/>
      </w:rPr>
    </w:lvl>
    <w:lvl w:ilvl="3">
      <w:start w:val="1"/>
      <w:numFmt w:val="bullet"/>
      <w:lvlText w:val="–"/>
      <w:lvlJc w:val="left"/>
      <w:pPr>
        <w:ind w:left="2892" w:hanging="397"/>
      </w:pPr>
      <w:rPr>
        <w:rFonts w:ascii="Verdana" w:hAnsi="Verdana" w:hint="default"/>
        <w:color w:val="auto"/>
      </w:rPr>
    </w:lvl>
    <w:lvl w:ilvl="4">
      <w:start w:val="1"/>
      <w:numFmt w:val="bullet"/>
      <w:lvlText w:val="–"/>
      <w:lvlJc w:val="left"/>
      <w:pPr>
        <w:ind w:left="3289" w:hanging="397"/>
      </w:pPr>
      <w:rPr>
        <w:rFonts w:ascii="Verdana" w:hAnsi="Verdana" w:hint="default"/>
        <w:color w:val="auto"/>
      </w:rPr>
    </w:lvl>
    <w:lvl w:ilvl="5">
      <w:start w:val="1"/>
      <w:numFmt w:val="bullet"/>
      <w:lvlText w:val="–"/>
      <w:lvlJc w:val="left"/>
      <w:pPr>
        <w:ind w:left="3686" w:hanging="397"/>
      </w:pPr>
      <w:rPr>
        <w:rFonts w:ascii="Verdana" w:hAnsi="Verdana" w:hint="default"/>
        <w:color w:val="auto"/>
      </w:rPr>
    </w:lvl>
    <w:lvl w:ilvl="6">
      <w:start w:val="1"/>
      <w:numFmt w:val="bullet"/>
      <w:lvlText w:val="–"/>
      <w:lvlJc w:val="left"/>
      <w:pPr>
        <w:ind w:left="4083" w:hanging="397"/>
      </w:pPr>
      <w:rPr>
        <w:rFonts w:ascii="Verdana" w:hAnsi="Verdana" w:hint="default"/>
        <w:color w:val="auto"/>
      </w:rPr>
    </w:lvl>
    <w:lvl w:ilvl="7">
      <w:start w:val="1"/>
      <w:numFmt w:val="bullet"/>
      <w:lvlText w:val="–"/>
      <w:lvlJc w:val="left"/>
      <w:pPr>
        <w:ind w:left="4480" w:hanging="397"/>
      </w:pPr>
      <w:rPr>
        <w:rFonts w:ascii="Verdana" w:hAnsi="Verdana" w:hint="default"/>
        <w:color w:val="auto"/>
      </w:rPr>
    </w:lvl>
    <w:lvl w:ilvl="8">
      <w:start w:val="1"/>
      <w:numFmt w:val="bullet"/>
      <w:lvlText w:val="–"/>
      <w:lvlJc w:val="left"/>
      <w:pPr>
        <w:ind w:left="4877" w:hanging="397"/>
      </w:pPr>
      <w:rPr>
        <w:rFonts w:ascii="Verdana" w:hAnsi="Verdana" w:hint="default"/>
        <w:color w:val="auto"/>
      </w:rPr>
    </w:lvl>
  </w:abstractNum>
  <w:num w:numId="1">
    <w:abstractNumId w:val="26"/>
  </w:num>
  <w:num w:numId="2">
    <w:abstractNumId w:val="18"/>
  </w:num>
  <w:num w:numId="3">
    <w:abstractNumId w:val="12"/>
  </w:num>
  <w:num w:numId="4">
    <w:abstractNumId w:val="0"/>
  </w:num>
  <w:num w:numId="5">
    <w:abstractNumId w:val="8"/>
  </w:num>
  <w:num w:numId="6">
    <w:abstractNumId w:val="6"/>
  </w:num>
  <w:num w:numId="7">
    <w:abstractNumId w:val="17"/>
  </w:num>
  <w:num w:numId="8">
    <w:abstractNumId w:val="16"/>
  </w:num>
  <w:num w:numId="9">
    <w:abstractNumId w:val="10"/>
  </w:num>
  <w:num w:numId="10">
    <w:abstractNumId w:val="24"/>
  </w:num>
  <w:num w:numId="11">
    <w:abstractNumId w:val="1"/>
  </w:num>
  <w:num w:numId="12">
    <w:abstractNumId w:val="15"/>
  </w:num>
  <w:num w:numId="13">
    <w:abstractNumId w:val="9"/>
  </w:num>
  <w:num w:numId="14">
    <w:abstractNumId w:val="20"/>
  </w:num>
  <w:num w:numId="15">
    <w:abstractNumId w:val="2"/>
  </w:num>
  <w:num w:numId="16">
    <w:abstractNumId w:val="5"/>
  </w:num>
  <w:num w:numId="17">
    <w:abstractNumId w:val="7"/>
  </w:num>
  <w:num w:numId="18">
    <w:abstractNumId w:val="13"/>
  </w:num>
  <w:num w:numId="19">
    <w:abstractNumId w:val="21"/>
  </w:num>
  <w:num w:numId="20">
    <w:abstractNumId w:val="14"/>
  </w:num>
  <w:num w:numId="21">
    <w:abstractNumId w:val="4"/>
  </w:num>
  <w:num w:numId="22">
    <w:abstractNumId w:val="22"/>
  </w:num>
  <w:num w:numId="23">
    <w:abstractNumId w:val="11"/>
  </w:num>
  <w:num w:numId="24">
    <w:abstractNumId w:val="23"/>
    <w:lvlOverride w:ilvl="0">
      <w:startOverride w:val="1"/>
    </w:lvlOverride>
    <w:lvlOverride w:ilvl="1"/>
    <w:lvlOverride w:ilvl="2"/>
    <w:lvlOverride w:ilvl="3"/>
    <w:lvlOverride w:ilvl="4"/>
    <w:lvlOverride w:ilvl="5"/>
    <w:lvlOverride w:ilvl="6"/>
    <w:lvlOverride w:ilvl="7"/>
    <w:lvlOverride w:ilvl="8"/>
  </w:num>
  <w:num w:numId="25">
    <w:abstractNumId w:val="3"/>
  </w:num>
  <w:num w:numId="26">
    <w:abstractNumId w:val="23"/>
  </w:num>
  <w:num w:numId="27">
    <w:abstractNumId w:val="25"/>
  </w:num>
  <w:num w:numId="28">
    <w:abstractNumId w:val="1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1304"/>
  <w:autoHyphenation/>
  <w:hyphenationZone w:val="425"/>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0544"/>
    <w:rsid w:val="0000057D"/>
    <w:rsid w:val="000008C6"/>
    <w:rsid w:val="0000118F"/>
    <w:rsid w:val="00001460"/>
    <w:rsid w:val="000060C1"/>
    <w:rsid w:val="000132F9"/>
    <w:rsid w:val="00014E30"/>
    <w:rsid w:val="0001699F"/>
    <w:rsid w:val="0001774B"/>
    <w:rsid w:val="000238BF"/>
    <w:rsid w:val="000301E2"/>
    <w:rsid w:val="00032708"/>
    <w:rsid w:val="00033691"/>
    <w:rsid w:val="00035282"/>
    <w:rsid w:val="00043E40"/>
    <w:rsid w:val="00044143"/>
    <w:rsid w:val="000452D6"/>
    <w:rsid w:val="00046C96"/>
    <w:rsid w:val="00047EF7"/>
    <w:rsid w:val="00053F10"/>
    <w:rsid w:val="00060770"/>
    <w:rsid w:val="00063065"/>
    <w:rsid w:val="00067875"/>
    <w:rsid w:val="00070544"/>
    <w:rsid w:val="0007786C"/>
    <w:rsid w:val="00087EC2"/>
    <w:rsid w:val="00090185"/>
    <w:rsid w:val="00091A08"/>
    <w:rsid w:val="00094ABC"/>
    <w:rsid w:val="000A432E"/>
    <w:rsid w:val="000B3357"/>
    <w:rsid w:val="000B3F1D"/>
    <w:rsid w:val="000B6E1E"/>
    <w:rsid w:val="000C04A4"/>
    <w:rsid w:val="000C4C23"/>
    <w:rsid w:val="000D783A"/>
    <w:rsid w:val="000E4D27"/>
    <w:rsid w:val="000F02BA"/>
    <w:rsid w:val="000F1DCD"/>
    <w:rsid w:val="000F2EC9"/>
    <w:rsid w:val="00102743"/>
    <w:rsid w:val="00104AD8"/>
    <w:rsid w:val="0011074D"/>
    <w:rsid w:val="001124B9"/>
    <w:rsid w:val="001127D3"/>
    <w:rsid w:val="00115E83"/>
    <w:rsid w:val="00116799"/>
    <w:rsid w:val="001174E2"/>
    <w:rsid w:val="001223C1"/>
    <w:rsid w:val="00127935"/>
    <w:rsid w:val="00153FAF"/>
    <w:rsid w:val="001664CA"/>
    <w:rsid w:val="001674B7"/>
    <w:rsid w:val="00170958"/>
    <w:rsid w:val="00173438"/>
    <w:rsid w:val="00174CF7"/>
    <w:rsid w:val="001849C3"/>
    <w:rsid w:val="0018525F"/>
    <w:rsid w:val="00191190"/>
    <w:rsid w:val="00193233"/>
    <w:rsid w:val="001941CA"/>
    <w:rsid w:val="00194BBE"/>
    <w:rsid w:val="0019586C"/>
    <w:rsid w:val="0019752B"/>
    <w:rsid w:val="001A421C"/>
    <w:rsid w:val="001A7F54"/>
    <w:rsid w:val="001B5FDE"/>
    <w:rsid w:val="001B76AF"/>
    <w:rsid w:val="001D53AB"/>
    <w:rsid w:val="001D7DDD"/>
    <w:rsid w:val="001E2223"/>
    <w:rsid w:val="001E2770"/>
    <w:rsid w:val="00213E47"/>
    <w:rsid w:val="00215027"/>
    <w:rsid w:val="00217315"/>
    <w:rsid w:val="00223987"/>
    <w:rsid w:val="00226FBB"/>
    <w:rsid w:val="00231DDF"/>
    <w:rsid w:val="002337C2"/>
    <w:rsid w:val="00240745"/>
    <w:rsid w:val="002461CF"/>
    <w:rsid w:val="00246CCC"/>
    <w:rsid w:val="00247FC5"/>
    <w:rsid w:val="00251EED"/>
    <w:rsid w:val="002522F2"/>
    <w:rsid w:val="00261760"/>
    <w:rsid w:val="0026419D"/>
    <w:rsid w:val="0026473E"/>
    <w:rsid w:val="00267A71"/>
    <w:rsid w:val="002705D2"/>
    <w:rsid w:val="00271722"/>
    <w:rsid w:val="002861FC"/>
    <w:rsid w:val="0029240F"/>
    <w:rsid w:val="00293F3E"/>
    <w:rsid w:val="00294A83"/>
    <w:rsid w:val="00297C70"/>
    <w:rsid w:val="002A1830"/>
    <w:rsid w:val="002B5732"/>
    <w:rsid w:val="002C69BC"/>
    <w:rsid w:val="002D32AD"/>
    <w:rsid w:val="002E43BD"/>
    <w:rsid w:val="002F6929"/>
    <w:rsid w:val="00302C7A"/>
    <w:rsid w:val="0030534A"/>
    <w:rsid w:val="00305757"/>
    <w:rsid w:val="0030655E"/>
    <w:rsid w:val="00311A14"/>
    <w:rsid w:val="00313C6E"/>
    <w:rsid w:val="003277AE"/>
    <w:rsid w:val="003361DC"/>
    <w:rsid w:val="003401A5"/>
    <w:rsid w:val="00345558"/>
    <w:rsid w:val="003462A0"/>
    <w:rsid w:val="00350DB9"/>
    <w:rsid w:val="0035425E"/>
    <w:rsid w:val="0037228E"/>
    <w:rsid w:val="00375E60"/>
    <w:rsid w:val="003806D8"/>
    <w:rsid w:val="003856A2"/>
    <w:rsid w:val="0038752F"/>
    <w:rsid w:val="003916A6"/>
    <w:rsid w:val="003917E1"/>
    <w:rsid w:val="00393C81"/>
    <w:rsid w:val="00394C3B"/>
    <w:rsid w:val="003A55AA"/>
    <w:rsid w:val="003B69AC"/>
    <w:rsid w:val="003C3678"/>
    <w:rsid w:val="003D7D96"/>
    <w:rsid w:val="003E14C0"/>
    <w:rsid w:val="003E1EC3"/>
    <w:rsid w:val="003E6880"/>
    <w:rsid w:val="003F27E5"/>
    <w:rsid w:val="00400957"/>
    <w:rsid w:val="0040610B"/>
    <w:rsid w:val="00407C11"/>
    <w:rsid w:val="00416CEF"/>
    <w:rsid w:val="00424608"/>
    <w:rsid w:val="00424C99"/>
    <w:rsid w:val="00433ED6"/>
    <w:rsid w:val="004424C9"/>
    <w:rsid w:val="00444B5A"/>
    <w:rsid w:val="004456BC"/>
    <w:rsid w:val="0044586B"/>
    <w:rsid w:val="00447286"/>
    <w:rsid w:val="004478DB"/>
    <w:rsid w:val="0045242D"/>
    <w:rsid w:val="00452FAE"/>
    <w:rsid w:val="00463345"/>
    <w:rsid w:val="004715F5"/>
    <w:rsid w:val="00477368"/>
    <w:rsid w:val="00487F35"/>
    <w:rsid w:val="004A4AC8"/>
    <w:rsid w:val="004A5ECB"/>
    <w:rsid w:val="004A7644"/>
    <w:rsid w:val="004B2F7F"/>
    <w:rsid w:val="004B62A4"/>
    <w:rsid w:val="004C2A6C"/>
    <w:rsid w:val="004C39AB"/>
    <w:rsid w:val="004C56FF"/>
    <w:rsid w:val="004C57BD"/>
    <w:rsid w:val="004D079E"/>
    <w:rsid w:val="004D4E63"/>
    <w:rsid w:val="004D7F15"/>
    <w:rsid w:val="004E2949"/>
    <w:rsid w:val="00500A39"/>
    <w:rsid w:val="00502341"/>
    <w:rsid w:val="005029AD"/>
    <w:rsid w:val="00505193"/>
    <w:rsid w:val="00514238"/>
    <w:rsid w:val="005172DB"/>
    <w:rsid w:val="005270F6"/>
    <w:rsid w:val="005279DC"/>
    <w:rsid w:val="00527F25"/>
    <w:rsid w:val="00536F76"/>
    <w:rsid w:val="00540C4C"/>
    <w:rsid w:val="005416C5"/>
    <w:rsid w:val="00544B29"/>
    <w:rsid w:val="00546123"/>
    <w:rsid w:val="0056202C"/>
    <w:rsid w:val="005817BF"/>
    <w:rsid w:val="00585D1D"/>
    <w:rsid w:val="00592100"/>
    <w:rsid w:val="0059230D"/>
    <w:rsid w:val="00596083"/>
    <w:rsid w:val="005A10E1"/>
    <w:rsid w:val="005A28CB"/>
    <w:rsid w:val="005A3338"/>
    <w:rsid w:val="005A6EEC"/>
    <w:rsid w:val="005B07B3"/>
    <w:rsid w:val="005B374E"/>
    <w:rsid w:val="005B5649"/>
    <w:rsid w:val="005B6FC0"/>
    <w:rsid w:val="005C3AC7"/>
    <w:rsid w:val="005C6984"/>
    <w:rsid w:val="005C795F"/>
    <w:rsid w:val="005D07AA"/>
    <w:rsid w:val="005D3AC2"/>
    <w:rsid w:val="005D7BF5"/>
    <w:rsid w:val="005E1D49"/>
    <w:rsid w:val="005F23B7"/>
    <w:rsid w:val="005F686C"/>
    <w:rsid w:val="005F74E7"/>
    <w:rsid w:val="0060392F"/>
    <w:rsid w:val="00612D32"/>
    <w:rsid w:val="00627B14"/>
    <w:rsid w:val="00634C73"/>
    <w:rsid w:val="0063507F"/>
    <w:rsid w:val="00643468"/>
    <w:rsid w:val="00643C96"/>
    <w:rsid w:val="00647D8E"/>
    <w:rsid w:val="00652133"/>
    <w:rsid w:val="00654D1E"/>
    <w:rsid w:val="00654FE2"/>
    <w:rsid w:val="006552CB"/>
    <w:rsid w:val="00657CCA"/>
    <w:rsid w:val="00660B63"/>
    <w:rsid w:val="006700CD"/>
    <w:rsid w:val="0067379C"/>
    <w:rsid w:val="0069005A"/>
    <w:rsid w:val="00697384"/>
    <w:rsid w:val="006A33F5"/>
    <w:rsid w:val="006A47C7"/>
    <w:rsid w:val="006A5316"/>
    <w:rsid w:val="006C6235"/>
    <w:rsid w:val="006C770A"/>
    <w:rsid w:val="006C7E27"/>
    <w:rsid w:val="006D31EA"/>
    <w:rsid w:val="006E04B2"/>
    <w:rsid w:val="006E1153"/>
    <w:rsid w:val="006E177B"/>
    <w:rsid w:val="006E72BE"/>
    <w:rsid w:val="006E7B9D"/>
    <w:rsid w:val="006F020E"/>
    <w:rsid w:val="006F0820"/>
    <w:rsid w:val="006F2CCD"/>
    <w:rsid w:val="007044C9"/>
    <w:rsid w:val="0070464C"/>
    <w:rsid w:val="007078D3"/>
    <w:rsid w:val="007102B6"/>
    <w:rsid w:val="0072074B"/>
    <w:rsid w:val="00722610"/>
    <w:rsid w:val="00725063"/>
    <w:rsid w:val="007278A5"/>
    <w:rsid w:val="00737CD5"/>
    <w:rsid w:val="00745A0C"/>
    <w:rsid w:val="00750B71"/>
    <w:rsid w:val="0075772E"/>
    <w:rsid w:val="00757AC5"/>
    <w:rsid w:val="00766157"/>
    <w:rsid w:val="007702A1"/>
    <w:rsid w:val="00770934"/>
    <w:rsid w:val="00777764"/>
    <w:rsid w:val="007803EB"/>
    <w:rsid w:val="0078595B"/>
    <w:rsid w:val="00787BB3"/>
    <w:rsid w:val="007A3D7B"/>
    <w:rsid w:val="007A5303"/>
    <w:rsid w:val="007B195D"/>
    <w:rsid w:val="007B27D9"/>
    <w:rsid w:val="007D10CC"/>
    <w:rsid w:val="007D2260"/>
    <w:rsid w:val="007D63C7"/>
    <w:rsid w:val="007E3C0A"/>
    <w:rsid w:val="007E4C69"/>
    <w:rsid w:val="007E6CEB"/>
    <w:rsid w:val="007F0683"/>
    <w:rsid w:val="007F3B4B"/>
    <w:rsid w:val="00815F52"/>
    <w:rsid w:val="00816AA6"/>
    <w:rsid w:val="00821B4D"/>
    <w:rsid w:val="008235BD"/>
    <w:rsid w:val="00825477"/>
    <w:rsid w:val="008279C6"/>
    <w:rsid w:val="00830DA0"/>
    <w:rsid w:val="00841AF4"/>
    <w:rsid w:val="00842CBA"/>
    <w:rsid w:val="008457D8"/>
    <w:rsid w:val="00845C83"/>
    <w:rsid w:val="00847E86"/>
    <w:rsid w:val="00851E94"/>
    <w:rsid w:val="008610AF"/>
    <w:rsid w:val="008615BD"/>
    <w:rsid w:val="008674BF"/>
    <w:rsid w:val="00870553"/>
    <w:rsid w:val="008738AD"/>
    <w:rsid w:val="00877B67"/>
    <w:rsid w:val="00881BDD"/>
    <w:rsid w:val="00885EF9"/>
    <w:rsid w:val="00896362"/>
    <w:rsid w:val="008B04C0"/>
    <w:rsid w:val="008B45EF"/>
    <w:rsid w:val="008B4E1C"/>
    <w:rsid w:val="008C04C8"/>
    <w:rsid w:val="008C4DE4"/>
    <w:rsid w:val="008D18AA"/>
    <w:rsid w:val="008D30DD"/>
    <w:rsid w:val="008D4E9E"/>
    <w:rsid w:val="008E5CB8"/>
    <w:rsid w:val="008E715A"/>
    <w:rsid w:val="008F5685"/>
    <w:rsid w:val="00902489"/>
    <w:rsid w:val="00906736"/>
    <w:rsid w:val="00910BA8"/>
    <w:rsid w:val="00913005"/>
    <w:rsid w:val="009135B4"/>
    <w:rsid w:val="00925F8F"/>
    <w:rsid w:val="00931AC4"/>
    <w:rsid w:val="00936C43"/>
    <w:rsid w:val="00943221"/>
    <w:rsid w:val="00943D46"/>
    <w:rsid w:val="00944ECC"/>
    <w:rsid w:val="009621E8"/>
    <w:rsid w:val="00962898"/>
    <w:rsid w:val="009729AC"/>
    <w:rsid w:val="00975C53"/>
    <w:rsid w:val="00985C7E"/>
    <w:rsid w:val="0099001E"/>
    <w:rsid w:val="009932F4"/>
    <w:rsid w:val="009966E6"/>
    <w:rsid w:val="009A0672"/>
    <w:rsid w:val="009A0A58"/>
    <w:rsid w:val="009A2687"/>
    <w:rsid w:val="009A3170"/>
    <w:rsid w:val="009A431F"/>
    <w:rsid w:val="009A7C31"/>
    <w:rsid w:val="009B3C99"/>
    <w:rsid w:val="009B5A06"/>
    <w:rsid w:val="009B7274"/>
    <w:rsid w:val="009C3604"/>
    <w:rsid w:val="009C5C38"/>
    <w:rsid w:val="009D2B4A"/>
    <w:rsid w:val="009D2B6B"/>
    <w:rsid w:val="009D3158"/>
    <w:rsid w:val="009E0536"/>
    <w:rsid w:val="009E13A4"/>
    <w:rsid w:val="009E2DF8"/>
    <w:rsid w:val="009E56AA"/>
    <w:rsid w:val="009F1397"/>
    <w:rsid w:val="009F6CD8"/>
    <w:rsid w:val="00A0139F"/>
    <w:rsid w:val="00A019BB"/>
    <w:rsid w:val="00A03600"/>
    <w:rsid w:val="00A0446C"/>
    <w:rsid w:val="00A17038"/>
    <w:rsid w:val="00A31517"/>
    <w:rsid w:val="00A34EB9"/>
    <w:rsid w:val="00A4492C"/>
    <w:rsid w:val="00A4651C"/>
    <w:rsid w:val="00A510E0"/>
    <w:rsid w:val="00A51C2D"/>
    <w:rsid w:val="00A5386D"/>
    <w:rsid w:val="00A552AC"/>
    <w:rsid w:val="00A61EA5"/>
    <w:rsid w:val="00A622B4"/>
    <w:rsid w:val="00A637D1"/>
    <w:rsid w:val="00A65C75"/>
    <w:rsid w:val="00A738EB"/>
    <w:rsid w:val="00A739D9"/>
    <w:rsid w:val="00A76B5E"/>
    <w:rsid w:val="00A76C62"/>
    <w:rsid w:val="00A77591"/>
    <w:rsid w:val="00A83DFD"/>
    <w:rsid w:val="00A865F5"/>
    <w:rsid w:val="00A91104"/>
    <w:rsid w:val="00A92FA7"/>
    <w:rsid w:val="00AA1231"/>
    <w:rsid w:val="00AB30B2"/>
    <w:rsid w:val="00AC0A55"/>
    <w:rsid w:val="00AC5327"/>
    <w:rsid w:val="00AC56C5"/>
    <w:rsid w:val="00AC5EB5"/>
    <w:rsid w:val="00AD2C9A"/>
    <w:rsid w:val="00AD5719"/>
    <w:rsid w:val="00AE34B0"/>
    <w:rsid w:val="00AF1607"/>
    <w:rsid w:val="00B00D18"/>
    <w:rsid w:val="00B07128"/>
    <w:rsid w:val="00B12665"/>
    <w:rsid w:val="00B13276"/>
    <w:rsid w:val="00B219EE"/>
    <w:rsid w:val="00B222AC"/>
    <w:rsid w:val="00B31C31"/>
    <w:rsid w:val="00B33B17"/>
    <w:rsid w:val="00B3558F"/>
    <w:rsid w:val="00B41C0C"/>
    <w:rsid w:val="00B45749"/>
    <w:rsid w:val="00B51CD3"/>
    <w:rsid w:val="00B53B84"/>
    <w:rsid w:val="00B53DDE"/>
    <w:rsid w:val="00B56A7A"/>
    <w:rsid w:val="00B61404"/>
    <w:rsid w:val="00B669CE"/>
    <w:rsid w:val="00B717A3"/>
    <w:rsid w:val="00B7185A"/>
    <w:rsid w:val="00B73004"/>
    <w:rsid w:val="00B77499"/>
    <w:rsid w:val="00B91F01"/>
    <w:rsid w:val="00B93B24"/>
    <w:rsid w:val="00B94C70"/>
    <w:rsid w:val="00B9537A"/>
    <w:rsid w:val="00BA505F"/>
    <w:rsid w:val="00BA5326"/>
    <w:rsid w:val="00BA5905"/>
    <w:rsid w:val="00BB055F"/>
    <w:rsid w:val="00BB08F3"/>
    <w:rsid w:val="00BB0C3C"/>
    <w:rsid w:val="00BB6606"/>
    <w:rsid w:val="00BC37BF"/>
    <w:rsid w:val="00BC651C"/>
    <w:rsid w:val="00BD1BA7"/>
    <w:rsid w:val="00BD1D15"/>
    <w:rsid w:val="00BE5208"/>
    <w:rsid w:val="00BE5EC4"/>
    <w:rsid w:val="00BE6F83"/>
    <w:rsid w:val="00BF79C5"/>
    <w:rsid w:val="00C02735"/>
    <w:rsid w:val="00C05D76"/>
    <w:rsid w:val="00C13E25"/>
    <w:rsid w:val="00C1420D"/>
    <w:rsid w:val="00C14A1C"/>
    <w:rsid w:val="00C17023"/>
    <w:rsid w:val="00C241B9"/>
    <w:rsid w:val="00C342FF"/>
    <w:rsid w:val="00C3608A"/>
    <w:rsid w:val="00C40986"/>
    <w:rsid w:val="00C50E7D"/>
    <w:rsid w:val="00C571B1"/>
    <w:rsid w:val="00C76CF3"/>
    <w:rsid w:val="00C86D83"/>
    <w:rsid w:val="00C91803"/>
    <w:rsid w:val="00CA4655"/>
    <w:rsid w:val="00CB4598"/>
    <w:rsid w:val="00CC0E1C"/>
    <w:rsid w:val="00CC208B"/>
    <w:rsid w:val="00CC774A"/>
    <w:rsid w:val="00CD313B"/>
    <w:rsid w:val="00CD41CD"/>
    <w:rsid w:val="00CD6DC6"/>
    <w:rsid w:val="00CE06D9"/>
    <w:rsid w:val="00CF4BC1"/>
    <w:rsid w:val="00D03D0D"/>
    <w:rsid w:val="00D04B87"/>
    <w:rsid w:val="00D13B58"/>
    <w:rsid w:val="00D20FCC"/>
    <w:rsid w:val="00D244B8"/>
    <w:rsid w:val="00D30AA2"/>
    <w:rsid w:val="00D31CFD"/>
    <w:rsid w:val="00D35953"/>
    <w:rsid w:val="00D35DD0"/>
    <w:rsid w:val="00D41B18"/>
    <w:rsid w:val="00D5347F"/>
    <w:rsid w:val="00D548E6"/>
    <w:rsid w:val="00D577E9"/>
    <w:rsid w:val="00D609F3"/>
    <w:rsid w:val="00D63FDE"/>
    <w:rsid w:val="00D810BD"/>
    <w:rsid w:val="00D924ED"/>
    <w:rsid w:val="00D92DD0"/>
    <w:rsid w:val="00DA3979"/>
    <w:rsid w:val="00DA4CB5"/>
    <w:rsid w:val="00DA7436"/>
    <w:rsid w:val="00DB62FD"/>
    <w:rsid w:val="00DC2277"/>
    <w:rsid w:val="00DC2E31"/>
    <w:rsid w:val="00DC4BB7"/>
    <w:rsid w:val="00DD79DA"/>
    <w:rsid w:val="00DF0C8D"/>
    <w:rsid w:val="00DF0E85"/>
    <w:rsid w:val="00DF1324"/>
    <w:rsid w:val="00DF4AFA"/>
    <w:rsid w:val="00DF7FEE"/>
    <w:rsid w:val="00E01783"/>
    <w:rsid w:val="00E13075"/>
    <w:rsid w:val="00E14B79"/>
    <w:rsid w:val="00E14CA9"/>
    <w:rsid w:val="00E20BFD"/>
    <w:rsid w:val="00E21337"/>
    <w:rsid w:val="00E37681"/>
    <w:rsid w:val="00E37C6F"/>
    <w:rsid w:val="00E46B41"/>
    <w:rsid w:val="00E56F9B"/>
    <w:rsid w:val="00E6360F"/>
    <w:rsid w:val="00E73E46"/>
    <w:rsid w:val="00E8082B"/>
    <w:rsid w:val="00E96C8E"/>
    <w:rsid w:val="00EA2384"/>
    <w:rsid w:val="00EA5C3D"/>
    <w:rsid w:val="00EA62FB"/>
    <w:rsid w:val="00EA7F71"/>
    <w:rsid w:val="00EB505B"/>
    <w:rsid w:val="00EB55E0"/>
    <w:rsid w:val="00EB7810"/>
    <w:rsid w:val="00EC3F4A"/>
    <w:rsid w:val="00ED153A"/>
    <w:rsid w:val="00EE2B4D"/>
    <w:rsid w:val="00EE6FFC"/>
    <w:rsid w:val="00EF2C48"/>
    <w:rsid w:val="00F019C7"/>
    <w:rsid w:val="00F05F7B"/>
    <w:rsid w:val="00F05F9D"/>
    <w:rsid w:val="00F07CC9"/>
    <w:rsid w:val="00F07EB5"/>
    <w:rsid w:val="00F10DFF"/>
    <w:rsid w:val="00F12499"/>
    <w:rsid w:val="00F15CB8"/>
    <w:rsid w:val="00F16CEE"/>
    <w:rsid w:val="00F214CB"/>
    <w:rsid w:val="00F301F3"/>
    <w:rsid w:val="00F3024D"/>
    <w:rsid w:val="00F32CB5"/>
    <w:rsid w:val="00F351C4"/>
    <w:rsid w:val="00F360DF"/>
    <w:rsid w:val="00F363B0"/>
    <w:rsid w:val="00F369C7"/>
    <w:rsid w:val="00F37EA5"/>
    <w:rsid w:val="00F43ED3"/>
    <w:rsid w:val="00F5184F"/>
    <w:rsid w:val="00F5251F"/>
    <w:rsid w:val="00F567FE"/>
    <w:rsid w:val="00F5796A"/>
    <w:rsid w:val="00F7501D"/>
    <w:rsid w:val="00F77EB3"/>
    <w:rsid w:val="00F83AF2"/>
    <w:rsid w:val="00F8585D"/>
    <w:rsid w:val="00F86E16"/>
    <w:rsid w:val="00F8710D"/>
    <w:rsid w:val="00F91ED9"/>
    <w:rsid w:val="00F9368C"/>
    <w:rsid w:val="00F93854"/>
    <w:rsid w:val="00FA65C8"/>
    <w:rsid w:val="00FA6C82"/>
    <w:rsid w:val="00FB4D05"/>
    <w:rsid w:val="00FC1267"/>
    <w:rsid w:val="00FC3C1E"/>
    <w:rsid w:val="00FD0F6C"/>
    <w:rsid w:val="00FD576E"/>
    <w:rsid w:val="00FE7B0A"/>
    <w:rsid w:val="00FF3EAB"/>
  </w:rsids>
  <m:mathPr>
    <m:mathFont m:val="Cambria Math"/>
    <m:brkBin m:val="before"/>
    <m:brkBinSub m:val="--"/>
    <m:smallFrac m:val="0"/>
    <m:dispDef/>
    <m:lMargin m:val="0"/>
    <m:rMargin m:val="0"/>
    <m:defJc m:val="centerGroup"/>
    <m:wrapIndent m:val="1440"/>
    <m:intLim m:val="subSup"/>
    <m:naryLim m:val="undOvr"/>
  </m:mathPr>
  <w:themeFontLang w:val="fi-FI" w:eastAsia="ja-JP"/>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F1C1F13"/>
  <w15:docId w15:val="{F27429B5-BD5D-4474-BB10-DFBDFE013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HAnsi"/>
        <w:sz w:val="22"/>
        <w:szCs w:val="22"/>
        <w:lang w:val="fi-FI"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lsdException w:name="heading 5" w:uiPriority="9"/>
    <w:lsdException w:name="heading 6" w:uiPriority="9"/>
    <w:lsdException w:name="heading 7" w:uiPriority="9" w:unhideWhenUsed="1"/>
    <w:lsdException w:name="heading 8" w:uiPriority="9" w:unhideWhenUsed="1"/>
    <w:lsdException w:name="heading 9"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nhideWhenUsed="1"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D2C9A"/>
    <w:rPr>
      <w:sz w:val="20"/>
    </w:rPr>
  </w:style>
  <w:style w:type="paragraph" w:styleId="Heading1">
    <w:name w:val="heading 1"/>
    <w:basedOn w:val="Normal"/>
    <w:next w:val="BodyText"/>
    <w:link w:val="Heading1Char"/>
    <w:uiPriority w:val="9"/>
    <w:qFormat/>
    <w:rsid w:val="009B3C99"/>
    <w:pPr>
      <w:keepNext/>
      <w:keepLines/>
      <w:numPr>
        <w:numId w:val="14"/>
      </w:numPr>
      <w:spacing w:after="220"/>
      <w:outlineLvl w:val="0"/>
    </w:pPr>
    <w:rPr>
      <w:rFonts w:asciiTheme="majorHAnsi" w:eastAsiaTheme="majorEastAsia" w:hAnsiTheme="majorHAnsi" w:cstheme="majorHAnsi"/>
      <w:b/>
      <w:bCs/>
      <w:sz w:val="28"/>
      <w:szCs w:val="28"/>
    </w:rPr>
  </w:style>
  <w:style w:type="paragraph" w:styleId="Heading2">
    <w:name w:val="heading 2"/>
    <w:basedOn w:val="Normal"/>
    <w:next w:val="BodyText"/>
    <w:link w:val="Heading2Char"/>
    <w:uiPriority w:val="9"/>
    <w:qFormat/>
    <w:rsid w:val="009B3C99"/>
    <w:pPr>
      <w:keepNext/>
      <w:keepLines/>
      <w:numPr>
        <w:ilvl w:val="1"/>
        <w:numId w:val="14"/>
      </w:numPr>
      <w:spacing w:after="220"/>
      <w:outlineLvl w:val="1"/>
    </w:pPr>
    <w:rPr>
      <w:rFonts w:asciiTheme="majorHAnsi" w:eastAsiaTheme="majorEastAsia" w:hAnsiTheme="majorHAnsi" w:cstheme="majorBidi"/>
      <w:b/>
      <w:bCs/>
      <w:sz w:val="24"/>
      <w:szCs w:val="26"/>
    </w:rPr>
  </w:style>
  <w:style w:type="paragraph" w:styleId="Heading3">
    <w:name w:val="heading 3"/>
    <w:basedOn w:val="Normal"/>
    <w:next w:val="BodyText"/>
    <w:link w:val="Heading3Char"/>
    <w:uiPriority w:val="9"/>
    <w:qFormat/>
    <w:rsid w:val="009B3C99"/>
    <w:pPr>
      <w:keepNext/>
      <w:keepLines/>
      <w:numPr>
        <w:ilvl w:val="2"/>
        <w:numId w:val="14"/>
      </w:numPr>
      <w:spacing w:after="220"/>
      <w:outlineLvl w:val="2"/>
    </w:pPr>
    <w:rPr>
      <w:rFonts w:asciiTheme="majorHAnsi" w:eastAsiaTheme="majorEastAsia" w:hAnsiTheme="majorHAnsi" w:cstheme="majorBidi"/>
      <w:b/>
      <w:bCs/>
      <w:i/>
      <w:sz w:val="22"/>
    </w:rPr>
  </w:style>
  <w:style w:type="paragraph" w:styleId="Heading4">
    <w:name w:val="heading 4"/>
    <w:basedOn w:val="Normal"/>
    <w:next w:val="BodyText"/>
    <w:link w:val="Heading4Char"/>
    <w:uiPriority w:val="9"/>
    <w:rsid w:val="009B3C99"/>
    <w:pPr>
      <w:keepNext/>
      <w:keepLines/>
      <w:numPr>
        <w:ilvl w:val="3"/>
        <w:numId w:val="14"/>
      </w:numPr>
      <w:spacing w:after="220"/>
      <w:outlineLvl w:val="3"/>
    </w:pPr>
    <w:rPr>
      <w:rFonts w:asciiTheme="majorHAnsi" w:eastAsiaTheme="majorEastAsia" w:hAnsiTheme="majorHAnsi" w:cstheme="majorBidi"/>
      <w:b/>
      <w:bCs/>
      <w:iCs/>
    </w:rPr>
  </w:style>
  <w:style w:type="paragraph" w:styleId="Heading5">
    <w:name w:val="heading 5"/>
    <w:basedOn w:val="Normal"/>
    <w:next w:val="BodyText"/>
    <w:link w:val="Heading5Char"/>
    <w:uiPriority w:val="9"/>
    <w:rsid w:val="009B3C99"/>
    <w:pPr>
      <w:keepNext/>
      <w:keepLines/>
      <w:numPr>
        <w:ilvl w:val="4"/>
        <w:numId w:val="14"/>
      </w:numPr>
      <w:spacing w:after="220"/>
      <w:outlineLvl w:val="4"/>
    </w:pPr>
    <w:rPr>
      <w:rFonts w:asciiTheme="majorHAnsi" w:eastAsiaTheme="majorEastAsia" w:hAnsiTheme="majorHAnsi" w:cstheme="majorBidi"/>
      <w:b/>
    </w:rPr>
  </w:style>
  <w:style w:type="paragraph" w:styleId="Heading6">
    <w:name w:val="heading 6"/>
    <w:basedOn w:val="Normal"/>
    <w:next w:val="BodyText"/>
    <w:link w:val="Heading6Char"/>
    <w:uiPriority w:val="9"/>
    <w:rsid w:val="009B3C99"/>
    <w:pPr>
      <w:keepNext/>
      <w:keepLines/>
      <w:numPr>
        <w:ilvl w:val="5"/>
        <w:numId w:val="14"/>
      </w:numPr>
      <w:spacing w:after="220"/>
      <w:outlineLvl w:val="5"/>
    </w:pPr>
    <w:rPr>
      <w:rFonts w:asciiTheme="majorHAnsi" w:eastAsiaTheme="majorEastAsia" w:hAnsiTheme="majorHAnsi" w:cstheme="majorBidi"/>
      <w:b/>
      <w:iCs/>
    </w:rPr>
  </w:style>
  <w:style w:type="paragraph" w:styleId="Heading7">
    <w:name w:val="heading 7"/>
    <w:basedOn w:val="Normal"/>
    <w:next w:val="BodyText"/>
    <w:link w:val="Heading7Char"/>
    <w:uiPriority w:val="9"/>
    <w:rsid w:val="009B3C99"/>
    <w:pPr>
      <w:keepNext/>
      <w:keepLines/>
      <w:numPr>
        <w:ilvl w:val="6"/>
        <w:numId w:val="14"/>
      </w:numPr>
      <w:spacing w:after="220"/>
      <w:outlineLvl w:val="6"/>
    </w:pPr>
    <w:rPr>
      <w:rFonts w:asciiTheme="majorHAnsi" w:eastAsiaTheme="majorEastAsia" w:hAnsiTheme="majorHAnsi" w:cstheme="majorBidi"/>
      <w:b/>
      <w:iCs/>
    </w:rPr>
  </w:style>
  <w:style w:type="paragraph" w:styleId="Heading8">
    <w:name w:val="heading 8"/>
    <w:basedOn w:val="Normal"/>
    <w:next w:val="BodyText"/>
    <w:link w:val="Heading8Char"/>
    <w:uiPriority w:val="9"/>
    <w:rsid w:val="009B3C99"/>
    <w:pPr>
      <w:keepNext/>
      <w:keepLines/>
      <w:numPr>
        <w:ilvl w:val="7"/>
        <w:numId w:val="14"/>
      </w:numPr>
      <w:spacing w:after="220"/>
      <w:outlineLvl w:val="7"/>
    </w:pPr>
    <w:rPr>
      <w:rFonts w:asciiTheme="majorHAnsi" w:eastAsiaTheme="majorEastAsia" w:hAnsiTheme="majorHAnsi" w:cstheme="majorBidi"/>
      <w:b/>
      <w:szCs w:val="20"/>
    </w:rPr>
  </w:style>
  <w:style w:type="paragraph" w:styleId="Heading9">
    <w:name w:val="heading 9"/>
    <w:aliases w:val="Liite-otsikko"/>
    <w:basedOn w:val="Normal"/>
    <w:next w:val="BodyText"/>
    <w:link w:val="Heading9Char"/>
    <w:uiPriority w:val="9"/>
    <w:qFormat/>
    <w:rsid w:val="00AD2C9A"/>
    <w:pPr>
      <w:keepNext/>
      <w:keepLines/>
      <w:spacing w:after="220"/>
      <w:outlineLvl w:val="8"/>
    </w:pPr>
    <w:rPr>
      <w:rFonts w:asciiTheme="majorHAnsi" w:eastAsiaTheme="majorEastAsia" w:hAnsiTheme="majorHAnsi" w:cstheme="majorBidi"/>
      <w:b/>
      <w:iCs/>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9A3170"/>
    <w:pPr>
      <w:jc w:val="center"/>
    </w:pPr>
    <w:rPr>
      <w:noProof/>
      <w:color w:val="737373"/>
      <w:sz w:val="18"/>
    </w:rPr>
  </w:style>
  <w:style w:type="character" w:customStyle="1" w:styleId="HeaderChar">
    <w:name w:val="Header Char"/>
    <w:basedOn w:val="DefaultParagraphFont"/>
    <w:link w:val="Header"/>
    <w:uiPriority w:val="99"/>
    <w:rsid w:val="009A3170"/>
    <w:rPr>
      <w:noProof/>
      <w:color w:val="737373"/>
      <w:sz w:val="18"/>
    </w:rPr>
  </w:style>
  <w:style w:type="paragraph" w:styleId="Footer">
    <w:name w:val="footer"/>
    <w:basedOn w:val="Normal"/>
    <w:link w:val="FooterChar"/>
    <w:uiPriority w:val="99"/>
    <w:rsid w:val="00F5796A"/>
    <w:pPr>
      <w:jc w:val="center"/>
    </w:pPr>
    <w:rPr>
      <w:noProof/>
      <w:sz w:val="16"/>
    </w:rPr>
  </w:style>
  <w:style w:type="character" w:customStyle="1" w:styleId="FooterChar">
    <w:name w:val="Footer Char"/>
    <w:basedOn w:val="DefaultParagraphFont"/>
    <w:link w:val="Footer"/>
    <w:uiPriority w:val="99"/>
    <w:rsid w:val="00F5796A"/>
    <w:rPr>
      <w:noProof/>
      <w:sz w:val="16"/>
    </w:rPr>
  </w:style>
  <w:style w:type="paragraph" w:styleId="BalloonText">
    <w:name w:val="Balloon Text"/>
    <w:basedOn w:val="Normal"/>
    <w:link w:val="BalloonTextChar"/>
    <w:uiPriority w:val="99"/>
    <w:semiHidden/>
    <w:unhideWhenUsed/>
    <w:rsid w:val="009729AC"/>
    <w:rPr>
      <w:rFonts w:ascii="Tahoma" w:hAnsi="Tahoma" w:cs="Tahoma"/>
      <w:sz w:val="16"/>
      <w:szCs w:val="16"/>
    </w:rPr>
  </w:style>
  <w:style w:type="character" w:customStyle="1" w:styleId="BalloonTextChar">
    <w:name w:val="Balloon Text Char"/>
    <w:basedOn w:val="DefaultParagraphFont"/>
    <w:link w:val="BalloonText"/>
    <w:uiPriority w:val="99"/>
    <w:semiHidden/>
    <w:rsid w:val="00261760"/>
    <w:rPr>
      <w:rFonts w:ascii="Tahoma" w:hAnsi="Tahoma" w:cs="Tahoma"/>
      <w:sz w:val="16"/>
      <w:szCs w:val="16"/>
    </w:rPr>
  </w:style>
  <w:style w:type="table" w:styleId="TableGrid">
    <w:name w:val="Table Grid"/>
    <w:basedOn w:val="TableNormal"/>
    <w:uiPriority w:val="59"/>
    <w:rsid w:val="009729AC"/>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Eireunaviivaa">
    <w:name w:val="Ei reunaviivaa"/>
    <w:basedOn w:val="TableNormal"/>
    <w:uiPriority w:val="99"/>
    <w:qFormat/>
    <w:rsid w:val="009729AC"/>
    <w:tblPr/>
  </w:style>
  <w:style w:type="character" w:styleId="PlaceholderText">
    <w:name w:val="Placeholder Text"/>
    <w:basedOn w:val="DefaultParagraphFont"/>
    <w:uiPriority w:val="99"/>
    <w:rsid w:val="00DC2E31"/>
    <w:rPr>
      <w:color w:val="auto"/>
      <w:bdr w:val="none" w:sz="0" w:space="0" w:color="auto"/>
      <w:shd w:val="clear" w:color="auto" w:fill="auto"/>
    </w:rPr>
  </w:style>
  <w:style w:type="character" w:customStyle="1" w:styleId="Heading7Char">
    <w:name w:val="Heading 7 Char"/>
    <w:basedOn w:val="DefaultParagraphFont"/>
    <w:link w:val="Heading7"/>
    <w:uiPriority w:val="9"/>
    <w:rsid w:val="009B3C99"/>
    <w:rPr>
      <w:rFonts w:asciiTheme="majorHAnsi" w:eastAsiaTheme="majorEastAsia" w:hAnsiTheme="majorHAnsi" w:cstheme="majorBidi"/>
      <w:b/>
      <w:iCs/>
      <w:sz w:val="20"/>
    </w:rPr>
  </w:style>
  <w:style w:type="paragraph" w:styleId="BodyText">
    <w:name w:val="Body Text"/>
    <w:basedOn w:val="Normal"/>
    <w:link w:val="BodyTextChar"/>
    <w:uiPriority w:val="1"/>
    <w:qFormat/>
    <w:rsid w:val="00CD313B"/>
    <w:pPr>
      <w:spacing w:after="200"/>
      <w:ind w:left="1304"/>
    </w:pPr>
  </w:style>
  <w:style w:type="character" w:customStyle="1" w:styleId="BodyTextChar">
    <w:name w:val="Body Text Char"/>
    <w:basedOn w:val="DefaultParagraphFont"/>
    <w:link w:val="BodyText"/>
    <w:uiPriority w:val="1"/>
    <w:rsid w:val="00CD313B"/>
    <w:rPr>
      <w:sz w:val="20"/>
    </w:rPr>
  </w:style>
  <w:style w:type="paragraph" w:styleId="NoSpacing">
    <w:name w:val="No Spacing"/>
    <w:uiPriority w:val="2"/>
    <w:qFormat/>
    <w:rsid w:val="00032708"/>
    <w:pPr>
      <w:ind w:left="1304"/>
    </w:pPr>
    <w:rPr>
      <w:sz w:val="20"/>
    </w:rPr>
  </w:style>
  <w:style w:type="paragraph" w:styleId="ListNumber">
    <w:name w:val="List Number"/>
    <w:basedOn w:val="Normal"/>
    <w:uiPriority w:val="99"/>
    <w:qFormat/>
    <w:rsid w:val="005A10E1"/>
    <w:pPr>
      <w:numPr>
        <w:numId w:val="5"/>
      </w:numPr>
      <w:spacing w:after="200"/>
      <w:contextualSpacing/>
    </w:pPr>
  </w:style>
  <w:style w:type="paragraph" w:styleId="ListBullet">
    <w:name w:val="List Bullet"/>
    <w:basedOn w:val="Normal"/>
    <w:uiPriority w:val="99"/>
    <w:qFormat/>
    <w:rsid w:val="005A10E1"/>
    <w:pPr>
      <w:numPr>
        <w:numId w:val="4"/>
      </w:numPr>
      <w:spacing w:after="200"/>
      <w:contextualSpacing/>
    </w:pPr>
  </w:style>
  <w:style w:type="character" w:customStyle="1" w:styleId="Heading1Char">
    <w:name w:val="Heading 1 Char"/>
    <w:basedOn w:val="DefaultParagraphFont"/>
    <w:link w:val="Heading1"/>
    <w:uiPriority w:val="9"/>
    <w:rsid w:val="009B3C99"/>
    <w:rPr>
      <w:rFonts w:asciiTheme="majorHAnsi" w:eastAsiaTheme="majorEastAsia" w:hAnsiTheme="majorHAnsi" w:cstheme="majorHAnsi"/>
      <w:b/>
      <w:bCs/>
      <w:sz w:val="28"/>
      <w:szCs w:val="28"/>
    </w:rPr>
  </w:style>
  <w:style w:type="paragraph" w:styleId="Title">
    <w:name w:val="Title"/>
    <w:basedOn w:val="Normal"/>
    <w:next w:val="BodyText"/>
    <w:link w:val="TitleChar"/>
    <w:uiPriority w:val="10"/>
    <w:qFormat/>
    <w:rsid w:val="000008C6"/>
    <w:pPr>
      <w:spacing w:after="220"/>
      <w:contextualSpacing/>
    </w:pPr>
    <w:rPr>
      <w:rFonts w:asciiTheme="majorHAnsi" w:eastAsiaTheme="majorEastAsia" w:hAnsiTheme="majorHAnsi" w:cstheme="majorHAnsi"/>
      <w:b/>
      <w:kern w:val="22"/>
      <w:sz w:val="30"/>
      <w:szCs w:val="52"/>
    </w:rPr>
  </w:style>
  <w:style w:type="character" w:customStyle="1" w:styleId="TitleChar">
    <w:name w:val="Title Char"/>
    <w:basedOn w:val="DefaultParagraphFont"/>
    <w:link w:val="Title"/>
    <w:uiPriority w:val="10"/>
    <w:rsid w:val="000008C6"/>
    <w:rPr>
      <w:rFonts w:asciiTheme="majorHAnsi" w:eastAsiaTheme="majorEastAsia" w:hAnsiTheme="majorHAnsi" w:cstheme="majorHAnsi"/>
      <w:b/>
      <w:kern w:val="22"/>
      <w:sz w:val="30"/>
      <w:szCs w:val="52"/>
    </w:rPr>
  </w:style>
  <w:style w:type="paragraph" w:styleId="TOCHeading">
    <w:name w:val="TOC Heading"/>
    <w:next w:val="Normal"/>
    <w:uiPriority w:val="39"/>
    <w:rsid w:val="00CD313B"/>
    <w:pPr>
      <w:spacing w:after="220"/>
    </w:pPr>
    <w:rPr>
      <w:rFonts w:asciiTheme="majorHAnsi" w:eastAsiaTheme="majorEastAsia" w:hAnsiTheme="majorHAnsi" w:cstheme="majorBidi"/>
      <w:b/>
      <w:bCs/>
      <w:szCs w:val="28"/>
    </w:rPr>
  </w:style>
  <w:style w:type="character" w:customStyle="1" w:styleId="Heading2Char">
    <w:name w:val="Heading 2 Char"/>
    <w:basedOn w:val="DefaultParagraphFont"/>
    <w:link w:val="Heading2"/>
    <w:uiPriority w:val="9"/>
    <w:rsid w:val="009B3C99"/>
    <w:rPr>
      <w:rFonts w:asciiTheme="majorHAnsi" w:eastAsiaTheme="majorEastAsia" w:hAnsiTheme="majorHAnsi" w:cstheme="majorBidi"/>
      <w:b/>
      <w:bCs/>
      <w:sz w:val="24"/>
      <w:szCs w:val="26"/>
    </w:rPr>
  </w:style>
  <w:style w:type="character" w:customStyle="1" w:styleId="Heading3Char">
    <w:name w:val="Heading 3 Char"/>
    <w:basedOn w:val="DefaultParagraphFont"/>
    <w:link w:val="Heading3"/>
    <w:uiPriority w:val="9"/>
    <w:rsid w:val="009B3C99"/>
    <w:rPr>
      <w:rFonts w:asciiTheme="majorHAnsi" w:eastAsiaTheme="majorEastAsia" w:hAnsiTheme="majorHAnsi" w:cstheme="majorBidi"/>
      <w:b/>
      <w:bCs/>
      <w:i/>
    </w:rPr>
  </w:style>
  <w:style w:type="character" w:customStyle="1" w:styleId="Heading4Char">
    <w:name w:val="Heading 4 Char"/>
    <w:basedOn w:val="DefaultParagraphFont"/>
    <w:link w:val="Heading4"/>
    <w:uiPriority w:val="9"/>
    <w:rsid w:val="009B3C99"/>
    <w:rPr>
      <w:rFonts w:asciiTheme="majorHAnsi" w:eastAsiaTheme="majorEastAsia" w:hAnsiTheme="majorHAnsi" w:cstheme="majorBidi"/>
      <w:b/>
      <w:bCs/>
      <w:iCs/>
      <w:sz w:val="20"/>
    </w:rPr>
  </w:style>
  <w:style w:type="character" w:customStyle="1" w:styleId="Heading5Char">
    <w:name w:val="Heading 5 Char"/>
    <w:basedOn w:val="DefaultParagraphFont"/>
    <w:link w:val="Heading5"/>
    <w:uiPriority w:val="9"/>
    <w:rsid w:val="009B3C99"/>
    <w:rPr>
      <w:rFonts w:asciiTheme="majorHAnsi" w:eastAsiaTheme="majorEastAsia" w:hAnsiTheme="majorHAnsi" w:cstheme="majorBidi"/>
      <w:b/>
      <w:sz w:val="20"/>
    </w:rPr>
  </w:style>
  <w:style w:type="character" w:customStyle="1" w:styleId="Heading6Char">
    <w:name w:val="Heading 6 Char"/>
    <w:basedOn w:val="DefaultParagraphFont"/>
    <w:link w:val="Heading6"/>
    <w:uiPriority w:val="9"/>
    <w:rsid w:val="009B3C99"/>
    <w:rPr>
      <w:rFonts w:asciiTheme="majorHAnsi" w:eastAsiaTheme="majorEastAsia" w:hAnsiTheme="majorHAnsi" w:cstheme="majorBidi"/>
      <w:b/>
      <w:iCs/>
      <w:sz w:val="20"/>
    </w:rPr>
  </w:style>
  <w:style w:type="character" w:customStyle="1" w:styleId="Heading8Char">
    <w:name w:val="Heading 8 Char"/>
    <w:basedOn w:val="DefaultParagraphFont"/>
    <w:link w:val="Heading8"/>
    <w:uiPriority w:val="9"/>
    <w:rsid w:val="009B3C99"/>
    <w:rPr>
      <w:rFonts w:asciiTheme="majorHAnsi" w:eastAsiaTheme="majorEastAsia" w:hAnsiTheme="majorHAnsi" w:cstheme="majorBidi"/>
      <w:b/>
      <w:sz w:val="20"/>
      <w:szCs w:val="20"/>
    </w:rPr>
  </w:style>
  <w:style w:type="character" w:customStyle="1" w:styleId="Heading9Char">
    <w:name w:val="Heading 9 Char"/>
    <w:aliases w:val="Liite-otsikko Char"/>
    <w:basedOn w:val="DefaultParagraphFont"/>
    <w:link w:val="Heading9"/>
    <w:uiPriority w:val="9"/>
    <w:rsid w:val="00AD2C9A"/>
    <w:rPr>
      <w:rFonts w:asciiTheme="majorHAnsi" w:eastAsiaTheme="majorEastAsia" w:hAnsiTheme="majorHAnsi" w:cstheme="majorBidi"/>
      <w:b/>
      <w:iCs/>
      <w:sz w:val="28"/>
      <w:szCs w:val="20"/>
    </w:rPr>
  </w:style>
  <w:style w:type="numbering" w:customStyle="1" w:styleId="Luettelomerkit">
    <w:name w:val="Luettelomerkit"/>
    <w:uiPriority w:val="99"/>
    <w:rsid w:val="005A10E1"/>
    <w:pPr>
      <w:numPr>
        <w:numId w:val="1"/>
      </w:numPr>
    </w:pPr>
  </w:style>
  <w:style w:type="numbering" w:customStyle="1" w:styleId="Luettelonumerot">
    <w:name w:val="Luettelo numerot"/>
    <w:uiPriority w:val="99"/>
    <w:rsid w:val="005A10E1"/>
    <w:pPr>
      <w:numPr>
        <w:numId w:val="2"/>
      </w:numPr>
    </w:pPr>
  </w:style>
  <w:style w:type="paragraph" w:customStyle="1" w:styleId="Ohje">
    <w:name w:val="Ohje"/>
    <w:basedOn w:val="BodyText"/>
    <w:uiPriority w:val="99"/>
    <w:rsid w:val="009729AC"/>
    <w:pPr>
      <w:shd w:val="clear" w:color="auto" w:fill="FFFF00"/>
    </w:pPr>
  </w:style>
  <w:style w:type="character" w:styleId="Hyperlink">
    <w:name w:val="Hyperlink"/>
    <w:basedOn w:val="DefaultParagraphFont"/>
    <w:uiPriority w:val="99"/>
    <w:unhideWhenUsed/>
    <w:rsid w:val="009729AC"/>
    <w:rPr>
      <w:color w:val="0563C1" w:themeColor="hyperlink"/>
      <w:u w:val="single"/>
    </w:rPr>
  </w:style>
  <w:style w:type="numbering" w:customStyle="1" w:styleId="Numeroituotsikointi">
    <w:name w:val="Numeroitu otsikointi"/>
    <w:uiPriority w:val="99"/>
    <w:rsid w:val="009B3C99"/>
    <w:pPr>
      <w:numPr>
        <w:numId w:val="3"/>
      </w:numPr>
    </w:pPr>
  </w:style>
  <w:style w:type="paragraph" w:customStyle="1" w:styleId="Taulukkootsikko">
    <w:name w:val="Taulukko_otsikko"/>
    <w:basedOn w:val="Normal"/>
    <w:next w:val="Normal"/>
    <w:rsid w:val="009B3C99"/>
    <w:pPr>
      <w:spacing w:after="120"/>
      <w:jc w:val="both"/>
    </w:pPr>
    <w:rPr>
      <w:rFonts w:ascii="Verdana" w:eastAsia="Times New Roman" w:hAnsi="Verdana" w:cs="Arial"/>
      <w:b/>
    </w:rPr>
  </w:style>
  <w:style w:type="paragraph" w:customStyle="1" w:styleId="Taulukkoteksti">
    <w:name w:val="Taulukkoteksti"/>
    <w:basedOn w:val="Normal"/>
    <w:rsid w:val="00104AD8"/>
    <w:pPr>
      <w:jc w:val="both"/>
    </w:pPr>
    <w:rPr>
      <w:rFonts w:ascii="Verdana" w:eastAsia="Times New Roman" w:hAnsi="Verdana" w:cs="Arial"/>
      <w:sz w:val="18"/>
    </w:rPr>
  </w:style>
  <w:style w:type="paragraph" w:styleId="TOC1">
    <w:name w:val="toc 1"/>
    <w:next w:val="Normal"/>
    <w:autoRedefine/>
    <w:uiPriority w:val="39"/>
    <w:rsid w:val="00CD313B"/>
    <w:pPr>
      <w:tabs>
        <w:tab w:val="right" w:leader="dot" w:pos="9741"/>
      </w:tabs>
      <w:spacing w:before="240" w:after="120"/>
      <w:ind w:left="567" w:hanging="567"/>
    </w:pPr>
    <w:rPr>
      <w:rFonts w:asciiTheme="majorHAnsi" w:eastAsiaTheme="majorEastAsia" w:hAnsiTheme="majorHAnsi" w:cstheme="majorHAnsi"/>
      <w:b/>
      <w:sz w:val="20"/>
      <w:szCs w:val="20"/>
    </w:rPr>
  </w:style>
  <w:style w:type="paragraph" w:styleId="TOC2">
    <w:name w:val="toc 2"/>
    <w:next w:val="Normal"/>
    <w:autoRedefine/>
    <w:uiPriority w:val="39"/>
    <w:rsid w:val="00A739D9"/>
    <w:pPr>
      <w:tabs>
        <w:tab w:val="right" w:leader="dot" w:pos="9741"/>
      </w:tabs>
      <w:spacing w:before="60"/>
      <w:ind w:left="1418" w:hanging="851"/>
    </w:pPr>
    <w:rPr>
      <w:rFonts w:asciiTheme="majorHAnsi" w:eastAsiaTheme="majorEastAsia" w:hAnsiTheme="majorHAnsi" w:cstheme="majorBidi"/>
      <w:bCs/>
      <w:iCs/>
      <w:sz w:val="20"/>
      <w:szCs w:val="20"/>
    </w:rPr>
  </w:style>
  <w:style w:type="paragraph" w:styleId="TOC3">
    <w:name w:val="toc 3"/>
    <w:next w:val="Normal"/>
    <w:autoRedefine/>
    <w:uiPriority w:val="39"/>
    <w:rsid w:val="00CD313B"/>
    <w:pPr>
      <w:tabs>
        <w:tab w:val="right" w:leader="dot" w:pos="9741"/>
      </w:tabs>
      <w:ind w:left="2552" w:hanging="1134"/>
    </w:pPr>
    <w:rPr>
      <w:rFonts w:asciiTheme="majorHAnsi" w:eastAsiaTheme="majorEastAsia" w:hAnsiTheme="majorHAnsi" w:cstheme="majorBidi"/>
      <w:bCs/>
      <w:sz w:val="20"/>
      <w:szCs w:val="20"/>
    </w:rPr>
  </w:style>
  <w:style w:type="paragraph" w:styleId="TOC4">
    <w:name w:val="toc 4"/>
    <w:basedOn w:val="Normal"/>
    <w:next w:val="Normal"/>
    <w:autoRedefine/>
    <w:uiPriority w:val="39"/>
    <w:rsid w:val="009729AC"/>
    <w:pPr>
      <w:ind w:left="660"/>
    </w:pPr>
    <w:rPr>
      <w:szCs w:val="20"/>
    </w:rPr>
  </w:style>
  <w:style w:type="paragraph" w:styleId="TOC5">
    <w:name w:val="toc 5"/>
    <w:basedOn w:val="Normal"/>
    <w:next w:val="Normal"/>
    <w:autoRedefine/>
    <w:uiPriority w:val="39"/>
    <w:rsid w:val="009729AC"/>
    <w:pPr>
      <w:ind w:left="880"/>
    </w:pPr>
    <w:rPr>
      <w:szCs w:val="20"/>
    </w:rPr>
  </w:style>
  <w:style w:type="paragraph" w:styleId="TOC6">
    <w:name w:val="toc 6"/>
    <w:basedOn w:val="Normal"/>
    <w:next w:val="Normal"/>
    <w:autoRedefine/>
    <w:uiPriority w:val="39"/>
    <w:rsid w:val="009729AC"/>
    <w:pPr>
      <w:ind w:left="1100"/>
    </w:pPr>
    <w:rPr>
      <w:szCs w:val="20"/>
    </w:rPr>
  </w:style>
  <w:style w:type="paragraph" w:styleId="TOC7">
    <w:name w:val="toc 7"/>
    <w:basedOn w:val="Normal"/>
    <w:next w:val="Normal"/>
    <w:autoRedefine/>
    <w:uiPriority w:val="39"/>
    <w:rsid w:val="009729AC"/>
    <w:pPr>
      <w:ind w:left="1320"/>
    </w:pPr>
    <w:rPr>
      <w:szCs w:val="20"/>
    </w:rPr>
  </w:style>
  <w:style w:type="paragraph" w:styleId="TOC8">
    <w:name w:val="toc 8"/>
    <w:basedOn w:val="Normal"/>
    <w:next w:val="Normal"/>
    <w:autoRedefine/>
    <w:uiPriority w:val="39"/>
    <w:rsid w:val="009729AC"/>
    <w:pPr>
      <w:ind w:left="1540"/>
    </w:pPr>
    <w:rPr>
      <w:szCs w:val="20"/>
    </w:rPr>
  </w:style>
  <w:style w:type="paragraph" w:styleId="TOC9">
    <w:name w:val="toc 9"/>
    <w:basedOn w:val="Normal"/>
    <w:next w:val="Normal"/>
    <w:autoRedefine/>
    <w:uiPriority w:val="39"/>
    <w:rsid w:val="009729AC"/>
    <w:pPr>
      <w:ind w:left="1760"/>
    </w:pPr>
    <w:rPr>
      <w:szCs w:val="20"/>
    </w:rPr>
  </w:style>
  <w:style w:type="table" w:customStyle="1" w:styleId="Traficomtaulukko">
    <w:name w:val="Traficom taulukko"/>
    <w:basedOn w:val="TableNormal"/>
    <w:uiPriority w:val="99"/>
    <w:qFormat/>
    <w:rsid w:val="00F351C4"/>
    <w:tblPr>
      <w:tblBorders>
        <w:top w:val="single" w:sz="4" w:space="0" w:color="018285" w:themeColor="accent2"/>
        <w:left w:val="single" w:sz="4" w:space="0" w:color="018285" w:themeColor="accent2"/>
        <w:bottom w:val="single" w:sz="4" w:space="0" w:color="018285" w:themeColor="accent2"/>
        <w:right w:val="single" w:sz="4" w:space="0" w:color="018285" w:themeColor="accent2"/>
        <w:insideH w:val="single" w:sz="4" w:space="0" w:color="018285" w:themeColor="accent2"/>
        <w:insideV w:val="single" w:sz="4" w:space="0" w:color="018285" w:themeColor="accent2"/>
      </w:tblBorders>
    </w:tblPr>
    <w:tcPr>
      <w:shd w:val="clear" w:color="auto" w:fill="auto"/>
    </w:tcPr>
    <w:tblStylePr w:type="firstRow">
      <w:rPr>
        <w:b/>
        <w:color w:val="FFFFFF" w:themeColor="background1"/>
      </w:rPr>
      <w:tblPr/>
      <w:tcPr>
        <w:shd w:val="clear" w:color="auto" w:fill="018285" w:themeFill="accent2"/>
      </w:tcPr>
    </w:tblStylePr>
  </w:style>
  <w:style w:type="paragraph" w:styleId="Caption">
    <w:name w:val="caption"/>
    <w:basedOn w:val="Normal"/>
    <w:next w:val="Normal"/>
    <w:uiPriority w:val="35"/>
    <w:unhideWhenUsed/>
    <w:qFormat/>
    <w:rsid w:val="008C4DE4"/>
    <w:pPr>
      <w:spacing w:after="200"/>
      <w:ind w:left="1304"/>
    </w:pPr>
    <w:rPr>
      <w:i/>
      <w:iCs/>
      <w:sz w:val="18"/>
      <w:szCs w:val="18"/>
    </w:rPr>
  </w:style>
  <w:style w:type="table" w:customStyle="1" w:styleId="TableNormal1">
    <w:name w:val="Table Normal1"/>
    <w:uiPriority w:val="2"/>
    <w:semiHidden/>
    <w:unhideWhenUsed/>
    <w:qFormat/>
    <w:rsid w:val="009A3170"/>
    <w:pPr>
      <w:widowControl w:val="0"/>
    </w:pPr>
    <w:rPr>
      <w:rFonts w:ascii="Calibri" w:eastAsia="Calibri" w:hAnsi="Calibri" w:cs="Times New Roman"/>
      <w:lang w:val="en-US"/>
    </w:rPr>
    <w:tblPr>
      <w:tblInd w:w="0" w:type="dxa"/>
      <w:tblCellMar>
        <w:top w:w="0" w:type="dxa"/>
        <w:left w:w="0" w:type="dxa"/>
        <w:bottom w:w="0" w:type="dxa"/>
        <w:right w:w="0" w:type="dxa"/>
      </w:tblCellMar>
    </w:tblPr>
  </w:style>
  <w:style w:type="paragraph" w:styleId="TableofFigures">
    <w:name w:val="table of figures"/>
    <w:basedOn w:val="Normal"/>
    <w:next w:val="Normal"/>
    <w:uiPriority w:val="99"/>
    <w:unhideWhenUsed/>
    <w:rsid w:val="009B3C99"/>
  </w:style>
  <w:style w:type="paragraph" w:styleId="ListParagraph">
    <w:name w:val="List Paragraph"/>
    <w:basedOn w:val="Normal"/>
    <w:link w:val="ListParagraphChar"/>
    <w:uiPriority w:val="99"/>
    <w:qFormat/>
    <w:rsid w:val="00C342FF"/>
    <w:pPr>
      <w:spacing w:line="240" w:lineRule="atLeast"/>
      <w:ind w:left="720"/>
      <w:contextualSpacing/>
      <w:jc w:val="both"/>
    </w:pPr>
    <w:rPr>
      <w:rFonts w:ascii="Verdana" w:eastAsia="Times New Roman" w:hAnsi="Verdana" w:cs="Times New Roman"/>
      <w:sz w:val="18"/>
      <w:szCs w:val="24"/>
      <w:lang w:eastAsia="da-DK"/>
    </w:rPr>
  </w:style>
  <w:style w:type="character" w:customStyle="1" w:styleId="ListParagraphChar">
    <w:name w:val="List Paragraph Char"/>
    <w:basedOn w:val="DefaultParagraphFont"/>
    <w:link w:val="ListParagraph"/>
    <w:uiPriority w:val="34"/>
    <w:locked/>
    <w:rsid w:val="00C342FF"/>
    <w:rPr>
      <w:rFonts w:ascii="Verdana" w:eastAsia="Times New Roman" w:hAnsi="Verdana" w:cs="Times New Roman"/>
      <w:sz w:val="18"/>
      <w:szCs w:val="24"/>
      <w:lang w:eastAsia="da-DK"/>
    </w:rPr>
  </w:style>
  <w:style w:type="paragraph" w:customStyle="1" w:styleId="ALeip1kappale">
    <w:name w:val="A_Leipä 1. kappale"/>
    <w:basedOn w:val="Normal"/>
    <w:qFormat/>
    <w:rsid w:val="00C342FF"/>
    <w:pPr>
      <w:spacing w:line="260" w:lineRule="atLeast"/>
      <w:jc w:val="both"/>
    </w:pPr>
    <w:rPr>
      <w:rFonts w:ascii="Exo 2" w:eastAsia="Times New Roman" w:hAnsi="Exo 2" w:cs="Myriad Pro"/>
      <w:spacing w:val="1"/>
      <w:sz w:val="22"/>
      <w:lang w:eastAsia="fi-FI"/>
    </w:rPr>
  </w:style>
  <w:style w:type="paragraph" w:styleId="FootnoteText">
    <w:name w:val="footnote text"/>
    <w:basedOn w:val="Normal"/>
    <w:link w:val="FootnoteTextChar"/>
    <w:uiPriority w:val="99"/>
    <w:unhideWhenUsed/>
    <w:rsid w:val="00C342FF"/>
    <w:rPr>
      <w:rFonts w:cstheme="minorBidi"/>
      <w:szCs w:val="20"/>
    </w:rPr>
  </w:style>
  <w:style w:type="character" w:customStyle="1" w:styleId="FootnoteTextChar">
    <w:name w:val="Footnote Text Char"/>
    <w:basedOn w:val="DefaultParagraphFont"/>
    <w:link w:val="FootnoteText"/>
    <w:uiPriority w:val="99"/>
    <w:rsid w:val="00C342FF"/>
    <w:rPr>
      <w:rFonts w:cstheme="minorBidi"/>
      <w:sz w:val="20"/>
      <w:szCs w:val="20"/>
    </w:rPr>
  </w:style>
  <w:style w:type="character" w:styleId="FootnoteReference">
    <w:name w:val="footnote reference"/>
    <w:basedOn w:val="DefaultParagraphFont"/>
    <w:uiPriority w:val="99"/>
    <w:semiHidden/>
    <w:unhideWhenUsed/>
    <w:rsid w:val="00C342FF"/>
    <w:rPr>
      <w:vertAlign w:val="superscript"/>
    </w:rPr>
  </w:style>
  <w:style w:type="character" w:styleId="FollowedHyperlink">
    <w:name w:val="FollowedHyperlink"/>
    <w:basedOn w:val="DefaultParagraphFont"/>
    <w:uiPriority w:val="99"/>
    <w:semiHidden/>
    <w:unhideWhenUsed/>
    <w:rsid w:val="005A6EEC"/>
    <w:rPr>
      <w:color w:val="954F72" w:themeColor="followedHyperlink"/>
      <w:u w:val="single"/>
    </w:rPr>
  </w:style>
  <w:style w:type="character" w:styleId="CommentReference">
    <w:name w:val="annotation reference"/>
    <w:basedOn w:val="DefaultParagraphFont"/>
    <w:uiPriority w:val="99"/>
    <w:semiHidden/>
    <w:unhideWhenUsed/>
    <w:rsid w:val="00B13276"/>
    <w:rPr>
      <w:sz w:val="16"/>
      <w:szCs w:val="16"/>
    </w:rPr>
  </w:style>
  <w:style w:type="paragraph" w:styleId="CommentText">
    <w:name w:val="annotation text"/>
    <w:basedOn w:val="Normal"/>
    <w:link w:val="CommentTextChar"/>
    <w:uiPriority w:val="99"/>
    <w:semiHidden/>
    <w:unhideWhenUsed/>
    <w:rsid w:val="00B13276"/>
    <w:rPr>
      <w:szCs w:val="20"/>
    </w:rPr>
  </w:style>
  <w:style w:type="character" w:customStyle="1" w:styleId="CommentTextChar">
    <w:name w:val="Comment Text Char"/>
    <w:basedOn w:val="DefaultParagraphFont"/>
    <w:link w:val="CommentText"/>
    <w:uiPriority w:val="99"/>
    <w:semiHidden/>
    <w:rsid w:val="00B13276"/>
    <w:rPr>
      <w:sz w:val="20"/>
      <w:szCs w:val="20"/>
    </w:rPr>
  </w:style>
  <w:style w:type="paragraph" w:styleId="CommentSubject">
    <w:name w:val="annotation subject"/>
    <w:basedOn w:val="CommentText"/>
    <w:next w:val="CommentText"/>
    <w:link w:val="CommentSubjectChar"/>
    <w:uiPriority w:val="99"/>
    <w:semiHidden/>
    <w:unhideWhenUsed/>
    <w:rsid w:val="00B13276"/>
    <w:rPr>
      <w:b/>
      <w:bCs/>
    </w:rPr>
  </w:style>
  <w:style w:type="character" w:customStyle="1" w:styleId="CommentSubjectChar">
    <w:name w:val="Comment Subject Char"/>
    <w:basedOn w:val="CommentTextChar"/>
    <w:link w:val="CommentSubject"/>
    <w:uiPriority w:val="99"/>
    <w:semiHidden/>
    <w:rsid w:val="00B13276"/>
    <w:rPr>
      <w:b/>
      <w:bCs/>
      <w:sz w:val="20"/>
      <w:szCs w:val="20"/>
    </w:rPr>
  </w:style>
  <w:style w:type="paragraph" w:styleId="PlainText">
    <w:name w:val="Plain Text"/>
    <w:basedOn w:val="Normal"/>
    <w:link w:val="PlainTextChar"/>
    <w:uiPriority w:val="99"/>
    <w:semiHidden/>
    <w:unhideWhenUsed/>
    <w:rsid w:val="00B53DDE"/>
    <w:rPr>
      <w:rFonts w:ascii="Calibri" w:eastAsia="Times New Roman" w:hAnsi="Calibri" w:cs="Calibri"/>
      <w:sz w:val="22"/>
      <w:szCs w:val="21"/>
      <w:lang w:eastAsia="fi-FI"/>
    </w:rPr>
  </w:style>
  <w:style w:type="character" w:customStyle="1" w:styleId="PlainTextChar">
    <w:name w:val="Plain Text Char"/>
    <w:basedOn w:val="DefaultParagraphFont"/>
    <w:link w:val="PlainText"/>
    <w:uiPriority w:val="99"/>
    <w:semiHidden/>
    <w:rsid w:val="00B53DDE"/>
    <w:rPr>
      <w:rFonts w:ascii="Calibri" w:eastAsia="Times New Roman" w:hAnsi="Calibri" w:cs="Calibri"/>
      <w:szCs w:val="21"/>
      <w:lang w:eastAsia="fi-FI"/>
    </w:rPr>
  </w:style>
  <w:style w:type="paragraph" w:styleId="HTMLPreformatted">
    <w:name w:val="HTML Preformatted"/>
    <w:basedOn w:val="Normal"/>
    <w:link w:val="HTMLPreformattedChar"/>
    <w:uiPriority w:val="99"/>
    <w:semiHidden/>
    <w:unhideWhenUsed/>
    <w:rsid w:val="005D3A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Cs w:val="20"/>
      <w:lang w:eastAsia="fi-FI"/>
    </w:rPr>
  </w:style>
  <w:style w:type="character" w:customStyle="1" w:styleId="HTMLPreformattedChar">
    <w:name w:val="HTML Preformatted Char"/>
    <w:basedOn w:val="DefaultParagraphFont"/>
    <w:link w:val="HTMLPreformatted"/>
    <w:uiPriority w:val="99"/>
    <w:semiHidden/>
    <w:rsid w:val="005D3AC2"/>
    <w:rPr>
      <w:rFonts w:ascii="Courier New" w:eastAsia="Times New Roman" w:hAnsi="Courier New" w:cs="Courier New"/>
      <w:sz w:val="20"/>
      <w:szCs w:val="20"/>
      <w:lang w:eastAsia="fi-FI"/>
    </w:rPr>
  </w:style>
  <w:style w:type="character" w:customStyle="1" w:styleId="y2iqfc">
    <w:name w:val="y2iqfc"/>
    <w:basedOn w:val="DefaultParagraphFont"/>
    <w:rsid w:val="005D3A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411788">
      <w:bodyDiv w:val="1"/>
      <w:marLeft w:val="0"/>
      <w:marRight w:val="0"/>
      <w:marTop w:val="0"/>
      <w:marBottom w:val="0"/>
      <w:divBdr>
        <w:top w:val="none" w:sz="0" w:space="0" w:color="auto"/>
        <w:left w:val="none" w:sz="0" w:space="0" w:color="auto"/>
        <w:bottom w:val="none" w:sz="0" w:space="0" w:color="auto"/>
        <w:right w:val="none" w:sz="0" w:space="0" w:color="auto"/>
      </w:divBdr>
    </w:div>
    <w:div w:id="64229089">
      <w:bodyDiv w:val="1"/>
      <w:marLeft w:val="0"/>
      <w:marRight w:val="0"/>
      <w:marTop w:val="0"/>
      <w:marBottom w:val="0"/>
      <w:divBdr>
        <w:top w:val="none" w:sz="0" w:space="0" w:color="auto"/>
        <w:left w:val="none" w:sz="0" w:space="0" w:color="auto"/>
        <w:bottom w:val="none" w:sz="0" w:space="0" w:color="auto"/>
        <w:right w:val="none" w:sz="0" w:space="0" w:color="auto"/>
      </w:divBdr>
    </w:div>
    <w:div w:id="86536007">
      <w:bodyDiv w:val="1"/>
      <w:marLeft w:val="0"/>
      <w:marRight w:val="0"/>
      <w:marTop w:val="0"/>
      <w:marBottom w:val="0"/>
      <w:divBdr>
        <w:top w:val="none" w:sz="0" w:space="0" w:color="auto"/>
        <w:left w:val="none" w:sz="0" w:space="0" w:color="auto"/>
        <w:bottom w:val="none" w:sz="0" w:space="0" w:color="auto"/>
        <w:right w:val="none" w:sz="0" w:space="0" w:color="auto"/>
      </w:divBdr>
    </w:div>
    <w:div w:id="108091558">
      <w:bodyDiv w:val="1"/>
      <w:marLeft w:val="0"/>
      <w:marRight w:val="0"/>
      <w:marTop w:val="0"/>
      <w:marBottom w:val="0"/>
      <w:divBdr>
        <w:top w:val="none" w:sz="0" w:space="0" w:color="auto"/>
        <w:left w:val="none" w:sz="0" w:space="0" w:color="auto"/>
        <w:bottom w:val="none" w:sz="0" w:space="0" w:color="auto"/>
        <w:right w:val="none" w:sz="0" w:space="0" w:color="auto"/>
      </w:divBdr>
    </w:div>
    <w:div w:id="108670020">
      <w:bodyDiv w:val="1"/>
      <w:marLeft w:val="0"/>
      <w:marRight w:val="0"/>
      <w:marTop w:val="0"/>
      <w:marBottom w:val="0"/>
      <w:divBdr>
        <w:top w:val="none" w:sz="0" w:space="0" w:color="auto"/>
        <w:left w:val="none" w:sz="0" w:space="0" w:color="auto"/>
        <w:bottom w:val="none" w:sz="0" w:space="0" w:color="auto"/>
        <w:right w:val="none" w:sz="0" w:space="0" w:color="auto"/>
      </w:divBdr>
    </w:div>
    <w:div w:id="231350620">
      <w:bodyDiv w:val="1"/>
      <w:marLeft w:val="0"/>
      <w:marRight w:val="0"/>
      <w:marTop w:val="0"/>
      <w:marBottom w:val="0"/>
      <w:divBdr>
        <w:top w:val="none" w:sz="0" w:space="0" w:color="auto"/>
        <w:left w:val="none" w:sz="0" w:space="0" w:color="auto"/>
        <w:bottom w:val="none" w:sz="0" w:space="0" w:color="auto"/>
        <w:right w:val="none" w:sz="0" w:space="0" w:color="auto"/>
      </w:divBdr>
    </w:div>
    <w:div w:id="267782622">
      <w:bodyDiv w:val="1"/>
      <w:marLeft w:val="0"/>
      <w:marRight w:val="0"/>
      <w:marTop w:val="0"/>
      <w:marBottom w:val="0"/>
      <w:divBdr>
        <w:top w:val="none" w:sz="0" w:space="0" w:color="auto"/>
        <w:left w:val="none" w:sz="0" w:space="0" w:color="auto"/>
        <w:bottom w:val="none" w:sz="0" w:space="0" w:color="auto"/>
        <w:right w:val="none" w:sz="0" w:space="0" w:color="auto"/>
      </w:divBdr>
    </w:div>
    <w:div w:id="434635464">
      <w:bodyDiv w:val="1"/>
      <w:marLeft w:val="0"/>
      <w:marRight w:val="0"/>
      <w:marTop w:val="0"/>
      <w:marBottom w:val="0"/>
      <w:divBdr>
        <w:top w:val="none" w:sz="0" w:space="0" w:color="auto"/>
        <w:left w:val="none" w:sz="0" w:space="0" w:color="auto"/>
        <w:bottom w:val="none" w:sz="0" w:space="0" w:color="auto"/>
        <w:right w:val="none" w:sz="0" w:space="0" w:color="auto"/>
      </w:divBdr>
    </w:div>
    <w:div w:id="468400867">
      <w:bodyDiv w:val="1"/>
      <w:marLeft w:val="0"/>
      <w:marRight w:val="0"/>
      <w:marTop w:val="0"/>
      <w:marBottom w:val="0"/>
      <w:divBdr>
        <w:top w:val="none" w:sz="0" w:space="0" w:color="auto"/>
        <w:left w:val="none" w:sz="0" w:space="0" w:color="auto"/>
        <w:bottom w:val="none" w:sz="0" w:space="0" w:color="auto"/>
        <w:right w:val="none" w:sz="0" w:space="0" w:color="auto"/>
      </w:divBdr>
    </w:div>
    <w:div w:id="570385798">
      <w:bodyDiv w:val="1"/>
      <w:marLeft w:val="0"/>
      <w:marRight w:val="0"/>
      <w:marTop w:val="0"/>
      <w:marBottom w:val="0"/>
      <w:divBdr>
        <w:top w:val="none" w:sz="0" w:space="0" w:color="auto"/>
        <w:left w:val="none" w:sz="0" w:space="0" w:color="auto"/>
        <w:bottom w:val="none" w:sz="0" w:space="0" w:color="auto"/>
        <w:right w:val="none" w:sz="0" w:space="0" w:color="auto"/>
      </w:divBdr>
    </w:div>
    <w:div w:id="652224664">
      <w:bodyDiv w:val="1"/>
      <w:marLeft w:val="0"/>
      <w:marRight w:val="0"/>
      <w:marTop w:val="0"/>
      <w:marBottom w:val="0"/>
      <w:divBdr>
        <w:top w:val="none" w:sz="0" w:space="0" w:color="auto"/>
        <w:left w:val="none" w:sz="0" w:space="0" w:color="auto"/>
        <w:bottom w:val="none" w:sz="0" w:space="0" w:color="auto"/>
        <w:right w:val="none" w:sz="0" w:space="0" w:color="auto"/>
      </w:divBdr>
    </w:div>
    <w:div w:id="1127158321">
      <w:bodyDiv w:val="1"/>
      <w:marLeft w:val="0"/>
      <w:marRight w:val="0"/>
      <w:marTop w:val="0"/>
      <w:marBottom w:val="0"/>
      <w:divBdr>
        <w:top w:val="none" w:sz="0" w:space="0" w:color="auto"/>
        <w:left w:val="none" w:sz="0" w:space="0" w:color="auto"/>
        <w:bottom w:val="none" w:sz="0" w:space="0" w:color="auto"/>
        <w:right w:val="none" w:sz="0" w:space="0" w:color="auto"/>
      </w:divBdr>
    </w:div>
    <w:div w:id="1259824256">
      <w:bodyDiv w:val="1"/>
      <w:marLeft w:val="0"/>
      <w:marRight w:val="0"/>
      <w:marTop w:val="0"/>
      <w:marBottom w:val="0"/>
      <w:divBdr>
        <w:top w:val="none" w:sz="0" w:space="0" w:color="auto"/>
        <w:left w:val="none" w:sz="0" w:space="0" w:color="auto"/>
        <w:bottom w:val="none" w:sz="0" w:space="0" w:color="auto"/>
        <w:right w:val="none" w:sz="0" w:space="0" w:color="auto"/>
      </w:divBdr>
    </w:div>
    <w:div w:id="1321155123">
      <w:bodyDiv w:val="1"/>
      <w:marLeft w:val="0"/>
      <w:marRight w:val="0"/>
      <w:marTop w:val="0"/>
      <w:marBottom w:val="0"/>
      <w:divBdr>
        <w:top w:val="none" w:sz="0" w:space="0" w:color="auto"/>
        <w:left w:val="none" w:sz="0" w:space="0" w:color="auto"/>
        <w:bottom w:val="none" w:sz="0" w:space="0" w:color="auto"/>
        <w:right w:val="none" w:sz="0" w:space="0" w:color="auto"/>
      </w:divBdr>
      <w:divsChild>
        <w:div w:id="1626502152">
          <w:marLeft w:val="403"/>
          <w:marRight w:val="0"/>
          <w:marTop w:val="0"/>
          <w:marBottom w:val="240"/>
          <w:divBdr>
            <w:top w:val="none" w:sz="0" w:space="0" w:color="auto"/>
            <w:left w:val="none" w:sz="0" w:space="0" w:color="auto"/>
            <w:bottom w:val="none" w:sz="0" w:space="0" w:color="auto"/>
            <w:right w:val="none" w:sz="0" w:space="0" w:color="auto"/>
          </w:divBdr>
        </w:div>
      </w:divsChild>
    </w:div>
    <w:div w:id="1333140540">
      <w:bodyDiv w:val="1"/>
      <w:marLeft w:val="0"/>
      <w:marRight w:val="0"/>
      <w:marTop w:val="0"/>
      <w:marBottom w:val="0"/>
      <w:divBdr>
        <w:top w:val="none" w:sz="0" w:space="0" w:color="auto"/>
        <w:left w:val="none" w:sz="0" w:space="0" w:color="auto"/>
        <w:bottom w:val="none" w:sz="0" w:space="0" w:color="auto"/>
        <w:right w:val="none" w:sz="0" w:space="0" w:color="auto"/>
      </w:divBdr>
    </w:div>
    <w:div w:id="1410544966">
      <w:bodyDiv w:val="1"/>
      <w:marLeft w:val="0"/>
      <w:marRight w:val="0"/>
      <w:marTop w:val="0"/>
      <w:marBottom w:val="0"/>
      <w:divBdr>
        <w:top w:val="none" w:sz="0" w:space="0" w:color="auto"/>
        <w:left w:val="none" w:sz="0" w:space="0" w:color="auto"/>
        <w:bottom w:val="none" w:sz="0" w:space="0" w:color="auto"/>
        <w:right w:val="none" w:sz="0" w:space="0" w:color="auto"/>
      </w:divBdr>
    </w:div>
    <w:div w:id="1456605670">
      <w:bodyDiv w:val="1"/>
      <w:marLeft w:val="0"/>
      <w:marRight w:val="0"/>
      <w:marTop w:val="0"/>
      <w:marBottom w:val="0"/>
      <w:divBdr>
        <w:top w:val="none" w:sz="0" w:space="0" w:color="auto"/>
        <w:left w:val="none" w:sz="0" w:space="0" w:color="auto"/>
        <w:bottom w:val="none" w:sz="0" w:space="0" w:color="auto"/>
        <w:right w:val="none" w:sz="0" w:space="0" w:color="auto"/>
      </w:divBdr>
    </w:div>
    <w:div w:id="1512985064">
      <w:bodyDiv w:val="1"/>
      <w:marLeft w:val="0"/>
      <w:marRight w:val="0"/>
      <w:marTop w:val="0"/>
      <w:marBottom w:val="0"/>
      <w:divBdr>
        <w:top w:val="none" w:sz="0" w:space="0" w:color="auto"/>
        <w:left w:val="none" w:sz="0" w:space="0" w:color="auto"/>
        <w:bottom w:val="none" w:sz="0" w:space="0" w:color="auto"/>
        <w:right w:val="none" w:sz="0" w:space="0" w:color="auto"/>
      </w:divBdr>
      <w:divsChild>
        <w:div w:id="1172332673">
          <w:marLeft w:val="1022"/>
          <w:marRight w:val="0"/>
          <w:marTop w:val="0"/>
          <w:marBottom w:val="120"/>
          <w:divBdr>
            <w:top w:val="none" w:sz="0" w:space="0" w:color="auto"/>
            <w:left w:val="none" w:sz="0" w:space="0" w:color="auto"/>
            <w:bottom w:val="none" w:sz="0" w:space="0" w:color="auto"/>
            <w:right w:val="none" w:sz="0" w:space="0" w:color="auto"/>
          </w:divBdr>
        </w:div>
      </w:divsChild>
    </w:div>
    <w:div w:id="1647709012">
      <w:bodyDiv w:val="1"/>
      <w:marLeft w:val="0"/>
      <w:marRight w:val="0"/>
      <w:marTop w:val="0"/>
      <w:marBottom w:val="0"/>
      <w:divBdr>
        <w:top w:val="none" w:sz="0" w:space="0" w:color="auto"/>
        <w:left w:val="none" w:sz="0" w:space="0" w:color="auto"/>
        <w:bottom w:val="none" w:sz="0" w:space="0" w:color="auto"/>
        <w:right w:val="none" w:sz="0" w:space="0" w:color="auto"/>
      </w:divBdr>
    </w:div>
    <w:div w:id="1682245340">
      <w:bodyDiv w:val="1"/>
      <w:marLeft w:val="0"/>
      <w:marRight w:val="0"/>
      <w:marTop w:val="0"/>
      <w:marBottom w:val="0"/>
      <w:divBdr>
        <w:top w:val="none" w:sz="0" w:space="0" w:color="auto"/>
        <w:left w:val="none" w:sz="0" w:space="0" w:color="auto"/>
        <w:bottom w:val="none" w:sz="0" w:space="0" w:color="auto"/>
        <w:right w:val="none" w:sz="0" w:space="0" w:color="auto"/>
      </w:divBdr>
    </w:div>
    <w:div w:id="1726685153">
      <w:bodyDiv w:val="1"/>
      <w:marLeft w:val="0"/>
      <w:marRight w:val="0"/>
      <w:marTop w:val="0"/>
      <w:marBottom w:val="0"/>
      <w:divBdr>
        <w:top w:val="none" w:sz="0" w:space="0" w:color="auto"/>
        <w:left w:val="none" w:sz="0" w:space="0" w:color="auto"/>
        <w:bottom w:val="none" w:sz="0" w:space="0" w:color="auto"/>
        <w:right w:val="none" w:sz="0" w:space="0" w:color="auto"/>
      </w:divBdr>
      <w:divsChild>
        <w:div w:id="1020472389">
          <w:marLeft w:val="403"/>
          <w:marRight w:val="0"/>
          <w:marTop w:val="0"/>
          <w:marBottom w:val="240"/>
          <w:divBdr>
            <w:top w:val="none" w:sz="0" w:space="0" w:color="auto"/>
            <w:left w:val="none" w:sz="0" w:space="0" w:color="auto"/>
            <w:bottom w:val="none" w:sz="0" w:space="0" w:color="auto"/>
            <w:right w:val="none" w:sz="0" w:space="0" w:color="auto"/>
          </w:divBdr>
        </w:div>
      </w:divsChild>
    </w:div>
    <w:div w:id="1757826000">
      <w:bodyDiv w:val="1"/>
      <w:marLeft w:val="0"/>
      <w:marRight w:val="0"/>
      <w:marTop w:val="0"/>
      <w:marBottom w:val="0"/>
      <w:divBdr>
        <w:top w:val="none" w:sz="0" w:space="0" w:color="auto"/>
        <w:left w:val="none" w:sz="0" w:space="0" w:color="auto"/>
        <w:bottom w:val="none" w:sz="0" w:space="0" w:color="auto"/>
        <w:right w:val="none" w:sz="0" w:space="0" w:color="auto"/>
      </w:divBdr>
    </w:div>
    <w:div w:id="1793861649">
      <w:bodyDiv w:val="1"/>
      <w:marLeft w:val="0"/>
      <w:marRight w:val="0"/>
      <w:marTop w:val="0"/>
      <w:marBottom w:val="0"/>
      <w:divBdr>
        <w:top w:val="none" w:sz="0" w:space="0" w:color="auto"/>
        <w:left w:val="none" w:sz="0" w:space="0" w:color="auto"/>
        <w:bottom w:val="none" w:sz="0" w:space="0" w:color="auto"/>
        <w:right w:val="none" w:sz="0" w:space="0" w:color="auto"/>
      </w:divBdr>
    </w:div>
    <w:div w:id="1972638179">
      <w:bodyDiv w:val="1"/>
      <w:marLeft w:val="0"/>
      <w:marRight w:val="0"/>
      <w:marTop w:val="0"/>
      <w:marBottom w:val="0"/>
      <w:divBdr>
        <w:top w:val="none" w:sz="0" w:space="0" w:color="auto"/>
        <w:left w:val="none" w:sz="0" w:space="0" w:color="auto"/>
        <w:bottom w:val="none" w:sz="0" w:space="0" w:color="auto"/>
        <w:right w:val="none" w:sz="0" w:space="0" w:color="auto"/>
      </w:divBdr>
    </w:div>
    <w:div w:id="2024042224">
      <w:bodyDiv w:val="1"/>
      <w:marLeft w:val="0"/>
      <w:marRight w:val="0"/>
      <w:marTop w:val="0"/>
      <w:marBottom w:val="0"/>
      <w:divBdr>
        <w:top w:val="none" w:sz="0" w:space="0" w:color="auto"/>
        <w:left w:val="none" w:sz="0" w:space="0" w:color="auto"/>
        <w:bottom w:val="none" w:sz="0" w:space="0" w:color="auto"/>
        <w:right w:val="none" w:sz="0" w:space="0" w:color="auto"/>
      </w:divBdr>
    </w:div>
    <w:div w:id="2061324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image" Target="media/image20.emf"/><Relationship Id="rId42"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19.emf"/><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wmf"/><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hyperlink" Target="https://www.gov.uk/government/publications/tag-unit-a2-4-productivity-impacts" TargetMode="External"/><Relationship Id="rId37" Type="http://schemas.openxmlformats.org/officeDocument/2006/relationships/header" Target="header2.xml"/><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hyperlink" Target="https://www.gov.uk/government/publications/webtag-tag-unit-a2-1-wider-impacts"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oleObject" Target="embeddings/oleObject1.bin"/><Relationship Id="rId35"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21.jpeg"/></Relationships>
</file>

<file path=word/_rels/footnotes.xml.rels><?xml version="1.0" encoding="UTF-8" standalone="yes"?>
<Relationships xmlns="http://schemas.openxmlformats.org/package/2006/relationships"><Relationship Id="rId1" Type="http://schemas.openxmlformats.org/officeDocument/2006/relationships/hyperlink" Target="https://ec.europa.eu/eurostat/documents/3859598/5916917/KS-RA-11-011-EN.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03069493\Downloads\E%20Traficomin%20tutkimukset%20ja%20selvitykset%201%20su.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D8BC1BCFCD14B75990FC7107C2FE0B9"/>
        <w:category>
          <w:name w:val="Yleiset"/>
          <w:gallery w:val="placeholder"/>
        </w:category>
        <w:types>
          <w:type w:val="bbPlcHdr"/>
        </w:types>
        <w:behaviors>
          <w:behavior w:val="content"/>
        </w:behaviors>
        <w:guid w:val="{EC624E9B-58AB-4253-B28A-B1286B2E21CB}"/>
      </w:docPartPr>
      <w:docPartBody>
        <w:p w:rsidR="008B5F93" w:rsidRDefault="008B5F93">
          <w:pPr>
            <w:pStyle w:val="2D8BC1BCFCD14B75990FC7107C2FE0B9"/>
          </w:pPr>
          <w:r w:rsidRPr="004A2E1D">
            <w:rPr>
              <w:rStyle w:val="PlaceholderText"/>
            </w:rPr>
            <w:t>[Avainsanat]</w:t>
          </w:r>
        </w:p>
      </w:docPartBody>
    </w:docPart>
    <w:docPart>
      <w:docPartPr>
        <w:name w:val="97F5795809A543D599904A59D3415A6A"/>
        <w:category>
          <w:name w:val="Yleiset"/>
          <w:gallery w:val="placeholder"/>
        </w:category>
        <w:types>
          <w:type w:val="bbPlcHdr"/>
        </w:types>
        <w:behaviors>
          <w:behavior w:val="content"/>
        </w:behaviors>
        <w:guid w:val="{A86ACA19-AFB1-4C5E-8719-1DCD1FF8916D}"/>
      </w:docPartPr>
      <w:docPartBody>
        <w:p w:rsidR="008B5F93" w:rsidRDefault="008B5F93">
          <w:pPr>
            <w:pStyle w:val="97F5795809A543D599904A59D3415A6A"/>
          </w:pPr>
          <w:r w:rsidRPr="004A2E1D">
            <w:rPr>
              <w:rStyle w:val="PlaceholderText"/>
            </w:rPr>
            <w:t>Valitse kohde.</w:t>
          </w:r>
        </w:p>
      </w:docPartBody>
    </w:docPart>
    <w:docPart>
      <w:docPartPr>
        <w:name w:val="1469C73E117A445BB51429689FB432E7"/>
        <w:category>
          <w:name w:val="General"/>
          <w:gallery w:val="placeholder"/>
        </w:category>
        <w:types>
          <w:type w:val="bbPlcHdr"/>
        </w:types>
        <w:behaviors>
          <w:behavior w:val="content"/>
        </w:behaviors>
        <w:guid w:val="{7F99330D-01EB-4E8A-82B5-3DFF701BFE99}"/>
      </w:docPartPr>
      <w:docPartBody>
        <w:p w:rsidR="00375206" w:rsidRDefault="00375206" w:rsidP="00375206">
          <w:pPr>
            <w:pStyle w:val="1469C73E117A445BB51429689FB432E7"/>
          </w:pPr>
          <w:r w:rsidRPr="004A2E1D">
            <w:rPr>
              <w:rStyle w:val="PlaceholderText"/>
            </w:rPr>
            <w:t>[Avainsanat]</w:t>
          </w:r>
        </w:p>
      </w:docPartBody>
    </w:docPart>
    <w:docPart>
      <w:docPartPr>
        <w:name w:val="1D85DEC0745A47D9B4058D3A13D46A4A"/>
        <w:category>
          <w:name w:val="General"/>
          <w:gallery w:val="placeholder"/>
        </w:category>
        <w:types>
          <w:type w:val="bbPlcHdr"/>
        </w:types>
        <w:behaviors>
          <w:behavior w:val="content"/>
        </w:behaviors>
        <w:guid w:val="{C83078F3-F1E7-4C57-AF08-E8A699959F54}"/>
      </w:docPartPr>
      <w:docPartBody>
        <w:p w:rsidR="00375206" w:rsidRDefault="00375206" w:rsidP="00375206">
          <w:pPr>
            <w:pStyle w:val="1D85DEC0745A47D9B4058D3A13D46A4A"/>
          </w:pPr>
          <w:r w:rsidRPr="004A2E1D">
            <w:rPr>
              <w:rStyle w:val="PlaceholderText"/>
            </w:rPr>
            <w:t>[Avainsanat]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Exo 2">
    <w:altName w:val="Calibri"/>
    <w:charset w:val="00"/>
    <w:family w:val="auto"/>
    <w:pitch w:val="variable"/>
    <w:sig w:usb0="00000207" w:usb1="00000000" w:usb2="00000000" w:usb3="00000000" w:csb0="00000097" w:csb1="00000000"/>
  </w:font>
  <w:font w:name="Myriad Pro">
    <w:altName w:val="Arial"/>
    <w:panose1 w:val="00000000000000000000"/>
    <w:charset w:val="00"/>
    <w:family w:val="swiss"/>
    <w:notTrueType/>
    <w:pitch w:val="variable"/>
    <w:sig w:usb0="20000287" w:usb1="00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Felbridge Pro">
    <w:altName w:val="Corbel"/>
    <w:panose1 w:val="00000000000000000000"/>
    <w:charset w:val="00"/>
    <w:family w:val="modern"/>
    <w:notTrueType/>
    <w:pitch w:val="variable"/>
    <w:sig w:usb0="00000087" w:usb1="00000001"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sDel="0" w:formatting="0" w:inkAnnotations="0"/>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5F93"/>
    <w:rsid w:val="0015364D"/>
    <w:rsid w:val="00250DC1"/>
    <w:rsid w:val="00267FAE"/>
    <w:rsid w:val="00375206"/>
    <w:rsid w:val="003903C2"/>
    <w:rsid w:val="00396CAB"/>
    <w:rsid w:val="003C24D8"/>
    <w:rsid w:val="008262A9"/>
    <w:rsid w:val="008B5F93"/>
    <w:rsid w:val="008B75C8"/>
    <w:rsid w:val="008C0EE1"/>
    <w:rsid w:val="00A9188D"/>
    <w:rsid w:val="00AA43B0"/>
    <w:rsid w:val="00B87D29"/>
    <w:rsid w:val="00B97D40"/>
    <w:rsid w:val="00BD2C46"/>
    <w:rsid w:val="00CA6C93"/>
    <w:rsid w:val="00CB1C36"/>
    <w:rsid w:val="00E6384B"/>
    <w:rsid w:val="00E86A9E"/>
    <w:rsid w:val="00F43BA6"/>
    <w:rsid w:val="00FF682C"/>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i-FI" w:eastAsia="fi-FI"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375206"/>
    <w:rPr>
      <w:color w:val="auto"/>
      <w:bdr w:val="none" w:sz="0" w:space="0" w:color="auto"/>
      <w:shd w:val="clear" w:color="auto" w:fill="auto"/>
    </w:rPr>
  </w:style>
  <w:style w:type="paragraph" w:customStyle="1" w:styleId="2D8BC1BCFCD14B75990FC7107C2FE0B9">
    <w:name w:val="2D8BC1BCFCD14B75990FC7107C2FE0B9"/>
  </w:style>
  <w:style w:type="paragraph" w:customStyle="1" w:styleId="97F5795809A543D599904A59D3415A6A">
    <w:name w:val="97F5795809A543D599904A59D3415A6A"/>
  </w:style>
  <w:style w:type="paragraph" w:customStyle="1" w:styleId="1469C73E117A445BB51429689FB432E7">
    <w:name w:val="1469C73E117A445BB51429689FB432E7"/>
    <w:rsid w:val="00375206"/>
  </w:style>
  <w:style w:type="paragraph" w:customStyle="1" w:styleId="1D85DEC0745A47D9B4058D3A13D46A4A">
    <w:name w:val="1D85DEC0745A47D9B4058D3A13D46A4A"/>
    <w:rsid w:val="0037520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raficom">
  <a:themeElements>
    <a:clrScheme name="Traficom">
      <a:dk1>
        <a:sysClr val="windowText" lastClr="000000"/>
      </a:dk1>
      <a:lt1>
        <a:sysClr val="window" lastClr="FFFFFF"/>
      </a:lt1>
      <a:dk2>
        <a:srgbClr val="018285"/>
      </a:dk2>
      <a:lt2>
        <a:srgbClr val="1C6BBA"/>
      </a:lt2>
      <a:accent1>
        <a:srgbClr val="00AEB2"/>
      </a:accent1>
      <a:accent2>
        <a:srgbClr val="018285"/>
      </a:accent2>
      <a:accent3>
        <a:srgbClr val="81D600"/>
      </a:accent3>
      <a:accent4>
        <a:srgbClr val="EC017F"/>
      </a:accent4>
      <a:accent5>
        <a:srgbClr val="0058B1"/>
      </a:accent5>
      <a:accent6>
        <a:srgbClr val="159637"/>
      </a:accent6>
      <a:hlink>
        <a:srgbClr val="0563C1"/>
      </a:hlink>
      <a:folHlink>
        <a:srgbClr val="954F72"/>
      </a:folHlink>
    </a:clrScheme>
    <a:fontScheme name="Mukautettu 1">
      <a:majorFont>
        <a:latin typeface="Verdana"/>
        <a:ea typeface=""/>
        <a:cs typeface=""/>
      </a:majorFont>
      <a:minorFont>
        <a:latin typeface="Verdana"/>
        <a:ea typeface=""/>
        <a:cs typeface=""/>
      </a:minorFont>
    </a:fontScheme>
    <a:fmtScheme name="Office-teem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00AEB2"/>
        </a:solidFill>
        <a:ln>
          <a:solidFill>
            <a:srgbClr val="00AEB2"/>
          </a:solidFill>
        </a:ln>
      </a:spPr>
      <a:bodyPr rtlCol="0" anchor="t"/>
      <a:lstStyle>
        <a:defPPr algn="ctr">
          <a:defRPr dirty="0" err="1" smtClean="0">
            <a:solidFill>
              <a:schemeClr val="bg1"/>
            </a:solidFill>
            <a:latin typeface="+mj-lt"/>
          </a:defRPr>
        </a:defPPr>
      </a:lstStyle>
      <a:style>
        <a:lnRef idx="2">
          <a:schemeClr val="accent1">
            <a:shade val="50000"/>
          </a:schemeClr>
        </a:lnRef>
        <a:fillRef idx="1">
          <a:schemeClr val="accent1"/>
        </a:fillRef>
        <a:effectRef idx="0">
          <a:schemeClr val="accent1"/>
        </a:effectRef>
        <a:fontRef idx="minor">
          <a:schemeClr val="lt1"/>
        </a:fontRef>
      </a:style>
    </a:spDef>
    <a:lnDef>
      <a:spPr>
        <a:ln w="31750">
          <a:solidFill>
            <a:srgbClr val="00AEB2"/>
          </a:solidFill>
        </a:ln>
      </a:spPr>
      <a:bodyPr/>
      <a:lstStyle/>
      <a:style>
        <a:lnRef idx="1">
          <a:schemeClr val="accent1"/>
        </a:lnRef>
        <a:fillRef idx="0">
          <a:schemeClr val="accent1"/>
        </a:fillRef>
        <a:effectRef idx="0">
          <a:schemeClr val="accent1"/>
        </a:effectRef>
        <a:fontRef idx="minor">
          <a:schemeClr val="tx1"/>
        </a:fontRef>
      </a:style>
    </a:lnDef>
    <a:txDef>
      <a:spPr>
        <a:solidFill>
          <a:srgbClr val="00AEB2"/>
        </a:solidFill>
      </a:spPr>
      <a:bodyPr wrap="none" rtlCol="0">
        <a:spAutoFit/>
      </a:bodyPr>
      <a:lstStyle>
        <a:defPPr algn="l">
          <a:defRPr dirty="0" err="1" smtClean="0">
            <a:solidFill>
              <a:schemeClr val="bg1"/>
            </a:solidFill>
          </a:defRPr>
        </a:defPPr>
      </a:lstStyle>
    </a:txDef>
  </a:objectDefaults>
  <a:extraClrSchemeLst/>
  <a:custClrLst>
    <a:custClr name="Traficom 1">
      <a:srgbClr val="00AEB2"/>
    </a:custClr>
    <a:custClr name="Traficom 2">
      <a:srgbClr val="018285"/>
    </a:custClr>
    <a:custClr name="Traficom 3">
      <a:srgbClr val="0058B1"/>
    </a:custClr>
    <a:custClr name="Traficom 4">
      <a:srgbClr val="159637"/>
    </a:custClr>
    <a:custClr name="Traficom 5">
      <a:srgbClr val="81D600"/>
    </a:custClr>
    <a:custClr name="Traficom 6">
      <a:srgbClr val="009EFF"/>
    </a:custClr>
    <a:custClr name="Traficom 7">
      <a:srgbClr val="0066CC"/>
    </a:custClr>
    <a:custClr name="Traficom 8">
      <a:srgbClr val="EC017F"/>
    </a:custClr>
    <a:custClr name="Traficom 9">
      <a:srgbClr val="E90008"/>
    </a:custClr>
    <a:custClr name="Traficom 10">
      <a:srgbClr val="FF7D00"/>
    </a:custClr>
    <a:custClr name="Traficom 11">
      <a:srgbClr val="FFD400"/>
    </a:custClr>
    <a:custClr name="Traficom 12">
      <a:srgbClr val="056805"/>
    </a:custClr>
    <a:custClr name="Traficom 13">
      <a:srgbClr val="026273"/>
    </a:custClr>
    <a:custClr name="Traficom 14">
      <a:srgbClr val="002C74"/>
    </a:custClr>
    <a:custClr name="Traficom 15">
      <a:srgbClr val="820084"/>
    </a:custClr>
    <a:custClr name="Traficom 16">
      <a:srgbClr val="9E003B"/>
    </a:custClr>
  </a:custClrLst>
  <a:extLst>
    <a:ext uri="{05A4C25C-085E-4340-85A3-A5531E510DB2}">
      <thm15:themeFamily xmlns:thm15="http://schemas.microsoft.com/office/thememl/2012/main" name="Traficom" id="{76EC8A14-2307-4287-9843-1668F8215E47}" vid="{B002C68D-12CF-4CCB-A622-FDE0DB82E9E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B6EAA9694C16545A29FE3A6662B0E92" ma:contentTypeVersion="2" ma:contentTypeDescription="Create a new document." ma:contentTypeScope="" ma:versionID="0b31d606ac42891a844d206fbbe2f2b7">
  <xsd:schema xmlns:xsd="http://www.w3.org/2001/XMLSchema" xmlns:xs="http://www.w3.org/2001/XMLSchema" xmlns:p="http://schemas.microsoft.com/office/2006/metadata/properties" xmlns:ns2="171e1c59-97db-4257-9776-dbcada9e7aa9" targetNamespace="http://schemas.microsoft.com/office/2006/metadata/properties" ma:root="true" ma:fieldsID="500af37b7cfe00c716aeeb249702a610" ns2:_="">
    <xsd:import namespace="171e1c59-97db-4257-9776-dbcada9e7aa9"/>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1e1c59-97db-4257-9776-dbcada9e7a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7AB12D5-7D1A-4F5B-8403-FD40B1C604AA}">
  <ds:schemaRefs>
    <ds:schemaRef ds:uri="http://schemas.microsoft.com/office/2006/documentManagement/types"/>
    <ds:schemaRef ds:uri="http://purl.org/dc/elements/1.1/"/>
    <ds:schemaRef ds:uri="http://schemas.microsoft.com/office/2006/metadata/properties"/>
    <ds:schemaRef ds:uri="http://purl.org/dc/terms/"/>
    <ds:schemaRef ds:uri="http://schemas.openxmlformats.org/package/2006/metadata/core-properties"/>
    <ds:schemaRef ds:uri="http://purl.org/dc/dcmitype/"/>
    <ds:schemaRef ds:uri="http://schemas.microsoft.com/office/infopath/2007/PartnerControls"/>
    <ds:schemaRef ds:uri="171e1c59-97db-4257-9776-dbcada9e7aa9"/>
    <ds:schemaRef ds:uri="http://www.w3.org/XML/1998/namespace"/>
  </ds:schemaRefs>
</ds:datastoreItem>
</file>

<file path=customXml/itemProps3.xml><?xml version="1.0" encoding="utf-8"?>
<ds:datastoreItem xmlns:ds="http://schemas.openxmlformats.org/officeDocument/2006/customXml" ds:itemID="{1EB0D599-7F2B-454D-911A-BB4A737302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1e1c59-97db-4257-9776-dbcada9e7aa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078406A-21CC-43DB-B727-CF7E482FB162}">
  <ds:schemaRefs>
    <ds:schemaRef ds:uri="http://schemas.microsoft.com/sharepoint/v3/contenttype/forms"/>
  </ds:schemaRefs>
</ds:datastoreItem>
</file>

<file path=customXml/itemProps5.xml><?xml version="1.0" encoding="utf-8"?>
<ds:datastoreItem xmlns:ds="http://schemas.openxmlformats.org/officeDocument/2006/customXml" ds:itemID="{23FF112D-485A-4C47-81B1-CAFE340761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 Traficomin tutkimukset ja selvitykset 1 su.dotx</Template>
  <TotalTime>7</TotalTime>
  <Pages>44</Pages>
  <Words>11319</Words>
  <Characters>91688</Characters>
  <Application>Microsoft Office Word</Application>
  <DocSecurity>4</DocSecurity>
  <Lines>764</Lines>
  <Paragraphs>205</Paragraphs>
  <ScaleCrop>false</ScaleCrop>
  <HeadingPairs>
    <vt:vector size="4" baseType="variant">
      <vt:variant>
        <vt:lpstr>Title</vt:lpstr>
      </vt:variant>
      <vt:variant>
        <vt:i4>1</vt:i4>
      </vt:variant>
      <vt:variant>
        <vt:lpstr>Otsikko</vt:lpstr>
      </vt:variant>
      <vt:variant>
        <vt:i4>1</vt:i4>
      </vt:variant>
    </vt:vector>
  </HeadingPairs>
  <TitlesOfParts>
    <vt:vector size="2" baseType="lpstr">
      <vt:lpstr/>
      <vt:lpstr/>
    </vt:vector>
  </TitlesOfParts>
  <Company>Liikenne- ja viestintävirasto Traficom</Company>
  <LinksUpToDate>false</LinksUpToDate>
  <CharactersWithSpaces>102802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Viinikainen Tytti</dc:creator>
  <cp:keywords>8/2021</cp:keywords>
  <cp:lastModifiedBy>Häggblom Mikael</cp:lastModifiedBy>
  <cp:revision>2</cp:revision>
  <cp:lastPrinted>2021-06-04T13:09:00Z</cp:lastPrinted>
  <dcterms:created xsi:type="dcterms:W3CDTF">2021-08-05T08:37:00Z</dcterms:created>
  <dcterms:modified xsi:type="dcterms:W3CDTF">2021-08-05T08:37:00Z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0x010100CB6EAA9694C16545A29FE3A6662B0E92</vt:lpwstr>
  </property>
  <property fmtid="{D5CDD505-2E9C-101B-9397-08002B2CF9AE}" pid="3" name="SaTyDocumentQuartal">
    <vt:lpwstr/>
  </property>
  <property fmtid="{D5CDD505-2E9C-101B-9397-08002B2CF9AE}" pid="4" name="SaTyDocumentOrganisation">
    <vt:lpwstr/>
  </property>
  <property fmtid="{D5CDD505-2E9C-101B-9397-08002B2CF9AE}" pid="5" name="SaTyDocumentMonth">
    <vt:lpwstr/>
  </property>
  <property fmtid="{D5CDD505-2E9C-101B-9397-08002B2CF9AE}" pid="6" name="SaTyTosKeywords">
    <vt:lpwstr>3;#Mallipohja|8556560e-d2f7-4107-a309-72029ebfa072</vt:lpwstr>
  </property>
  <property fmtid="{D5CDD505-2E9C-101B-9397-08002B2CF9AE}" pid="7" name="SaTyDocumentLanguage">
    <vt:lpwstr>1;#Suomi|88d960e6-e76c-48a2-b607-f1600797b640</vt:lpwstr>
  </property>
  <property fmtid="{D5CDD505-2E9C-101B-9397-08002B2CF9AE}" pid="8" name="SaTyDocumentOtherTag">
    <vt:lpwstr/>
  </property>
</Properties>
</file>